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FD6A8E">
      <w:pPr>
        <w:pStyle w:val="3"/>
        <w:spacing w:line="0" w:lineRule="atLeast"/>
        <w:jc w:val="both"/>
        <w:rPr>
          <w:rFonts w:hint="default" w:ascii="黑体" w:hAnsi="宋体" w:eastAsia="黑体" w:cs="宋体-18030"/>
          <w:b w:val="0"/>
          <w:bCs w:val="0"/>
          <w:kern w:val="2"/>
          <w:sz w:val="32"/>
          <w:szCs w:val="32"/>
          <w:lang w:val="en-US" w:eastAsia="zh-CN" w:bidi="ar-SA"/>
        </w:rPr>
      </w:pPr>
      <w:bookmarkStart w:id="3" w:name="_GoBack"/>
      <w:bookmarkEnd w:id="3"/>
      <w:bookmarkStart w:id="0" w:name="_Toc16820"/>
      <w:bookmarkStart w:id="1" w:name="_Toc519977196"/>
      <w:bookmarkStart w:id="2" w:name="_Toc23084"/>
      <w:r>
        <w:rPr>
          <w:rFonts w:hint="eastAsia" w:ascii="黑体" w:hAnsi="宋体" w:eastAsia="黑体" w:cs="宋体-18030"/>
          <w:b w:val="0"/>
          <w:bCs w:val="0"/>
          <w:kern w:val="2"/>
          <w:sz w:val="32"/>
          <w:szCs w:val="32"/>
          <w:lang w:val="en-US" w:eastAsia="zh-CN" w:bidi="ar-SA"/>
        </w:rPr>
        <w:t>附件1</w:t>
      </w:r>
    </w:p>
    <w:p w14:paraId="3D2AE8E1">
      <w:pPr>
        <w:pStyle w:val="3"/>
        <w:spacing w:line="0" w:lineRule="atLeast"/>
        <w:ind w:firstLine="3213" w:firstLineChars="1000"/>
        <w:jc w:val="both"/>
        <w:rPr>
          <w:rFonts w:hint="eastAsia" w:ascii="方正小标宋简体" w:hAnsi="方正小标宋简体" w:eastAsia="方正小标宋简体" w:cs="方正小标宋简体"/>
          <w:color w:val="000000"/>
          <w:kern w:val="0"/>
        </w:rPr>
      </w:pPr>
      <w:r>
        <w:rPr>
          <w:rFonts w:hint="eastAsia" w:ascii="方正小标宋简体" w:hAnsi="方正小标宋简体" w:eastAsia="方正小标宋简体" w:cs="方正小标宋简体"/>
          <w:color w:val="000000"/>
          <w:kern w:val="0"/>
        </w:rPr>
        <w:t>比选评分标准</w:t>
      </w:r>
    </w:p>
    <w:p w14:paraId="70FFE2F6"/>
    <w:tbl>
      <w:tblPr>
        <w:tblStyle w:val="5"/>
        <w:tblW w:w="101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3"/>
        <w:gridCol w:w="6096"/>
        <w:gridCol w:w="3260"/>
      </w:tblGrid>
      <w:tr w14:paraId="7A791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13" w:type="dxa"/>
            <w:noWrap w:val="0"/>
            <w:vAlign w:val="center"/>
          </w:tcPr>
          <w:p w14:paraId="26FEAEDA">
            <w:pPr>
              <w:spacing w:line="0" w:lineRule="atLeast"/>
              <w:jc w:val="center"/>
              <w:rPr>
                <w:rFonts w:ascii="仿宋_GB2312" w:hAnsi="仿宋_GB2312" w:eastAsia="仿宋_GB2312" w:cs="仿宋_GB2312"/>
                <w:sz w:val="32"/>
              </w:rPr>
            </w:pPr>
            <w:r>
              <w:rPr>
                <w:rFonts w:hint="eastAsia" w:ascii="仿宋_GB2312" w:hAnsi="仿宋_GB2312" w:eastAsia="仿宋_GB2312" w:cs="仿宋_GB2312"/>
                <w:b/>
                <w:bCs/>
                <w:sz w:val="28"/>
                <w:szCs w:val="28"/>
              </w:rPr>
              <w:t>评分项</w:t>
            </w:r>
          </w:p>
        </w:tc>
        <w:tc>
          <w:tcPr>
            <w:tcW w:w="6096" w:type="dxa"/>
            <w:noWrap w:val="0"/>
            <w:vAlign w:val="center"/>
          </w:tcPr>
          <w:p w14:paraId="11365AD6">
            <w:pPr>
              <w:spacing w:line="0" w:lineRule="atLeas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评分标准</w:t>
            </w:r>
          </w:p>
        </w:tc>
        <w:tc>
          <w:tcPr>
            <w:tcW w:w="3260" w:type="dxa"/>
            <w:noWrap w:val="0"/>
            <w:vAlign w:val="center"/>
          </w:tcPr>
          <w:p w14:paraId="413FD746">
            <w:pPr>
              <w:spacing w:line="0" w:lineRule="atLeas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分值</w:t>
            </w:r>
          </w:p>
        </w:tc>
      </w:tr>
      <w:tr w14:paraId="06AE6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9" w:hRule="atLeast"/>
          <w:jc w:val="center"/>
        </w:trPr>
        <w:tc>
          <w:tcPr>
            <w:tcW w:w="813" w:type="dxa"/>
            <w:noWrap w:val="0"/>
            <w:vAlign w:val="center"/>
          </w:tcPr>
          <w:p w14:paraId="5BDB20AE">
            <w:pPr>
              <w:spacing w:line="0" w:lineRule="atLeast"/>
              <w:jc w:val="left"/>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相关业绩</w:t>
            </w:r>
          </w:p>
          <w:p w14:paraId="79061441">
            <w:pPr>
              <w:spacing w:line="0" w:lineRule="atLeast"/>
              <w:jc w:val="center"/>
              <w:rPr>
                <w:rFonts w:ascii="仿宋_GB2312" w:hAnsi="仿宋_GB2312" w:eastAsia="仿宋_GB2312" w:cs="仿宋_GB2312"/>
                <w:sz w:val="32"/>
              </w:rPr>
            </w:pPr>
          </w:p>
        </w:tc>
        <w:tc>
          <w:tcPr>
            <w:tcW w:w="6096" w:type="dxa"/>
            <w:noWrap w:val="0"/>
            <w:vAlign w:val="center"/>
          </w:tcPr>
          <w:p w14:paraId="44204251">
            <w:pPr>
              <w:spacing w:line="0" w:lineRule="atLeast"/>
              <w:jc w:val="lef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近3年的项目</w:t>
            </w:r>
            <w:r>
              <w:rPr>
                <w:rFonts w:hint="eastAsia" w:ascii="仿宋_GB2312" w:hAnsi="仿宋_GB2312" w:eastAsia="仿宋_GB2312" w:cs="仿宋_GB2312"/>
                <w:color w:val="auto"/>
                <w:sz w:val="28"/>
                <w:szCs w:val="28"/>
                <w:lang w:eastAsia="zh-CN"/>
              </w:rPr>
              <w:t>地勘</w:t>
            </w:r>
            <w:r>
              <w:rPr>
                <w:rFonts w:hint="eastAsia" w:ascii="仿宋_GB2312" w:hAnsi="仿宋_GB2312" w:eastAsia="仿宋_GB2312" w:cs="仿宋_GB2312"/>
                <w:color w:val="auto"/>
                <w:sz w:val="28"/>
                <w:szCs w:val="28"/>
              </w:rPr>
              <w:t>类服务业绩（合同或中标通知书），每个业绩4分，最多得10分</w:t>
            </w:r>
          </w:p>
        </w:tc>
        <w:tc>
          <w:tcPr>
            <w:tcW w:w="3260" w:type="dxa"/>
            <w:noWrap w:val="0"/>
            <w:vAlign w:val="center"/>
          </w:tcPr>
          <w:p w14:paraId="31A0B560">
            <w:pPr>
              <w:spacing w:line="0" w:lineRule="atLeas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10</w:t>
            </w:r>
          </w:p>
        </w:tc>
      </w:tr>
      <w:tr w14:paraId="7A605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5" w:hRule="atLeast"/>
          <w:jc w:val="center"/>
        </w:trPr>
        <w:tc>
          <w:tcPr>
            <w:tcW w:w="813" w:type="dxa"/>
            <w:noWrap w:val="0"/>
            <w:vAlign w:val="center"/>
          </w:tcPr>
          <w:p w14:paraId="054600E2">
            <w:pPr>
              <w:spacing w:line="0" w:lineRule="atLeast"/>
              <w:jc w:val="left"/>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方案得分</w:t>
            </w:r>
          </w:p>
          <w:p w14:paraId="2B0E68C1">
            <w:pPr>
              <w:spacing w:line="0" w:lineRule="atLeast"/>
              <w:jc w:val="center"/>
              <w:rPr>
                <w:rFonts w:ascii="仿宋_GB2312" w:hAnsi="仿宋_GB2312" w:eastAsia="仿宋_GB2312" w:cs="仿宋_GB2312"/>
                <w:sz w:val="32"/>
              </w:rPr>
            </w:pPr>
          </w:p>
        </w:tc>
        <w:tc>
          <w:tcPr>
            <w:tcW w:w="6096" w:type="dxa"/>
            <w:noWrap w:val="0"/>
            <w:vAlign w:val="center"/>
          </w:tcPr>
          <w:p w14:paraId="2D56EAF5">
            <w:pPr>
              <w:spacing w:line="0" w:lineRule="atLeast"/>
              <w:ind w:left="560" w:hanging="560" w:hangingChars="200"/>
              <w:jc w:val="left"/>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组织机构人员配备，</w:t>
            </w:r>
            <w:r>
              <w:rPr>
                <w:rFonts w:hint="eastAsia" w:ascii="仿宋_GB2312" w:hAnsi="仿宋_GB2312" w:eastAsia="仿宋_GB2312" w:cs="仿宋_GB2312"/>
                <w:color w:val="auto"/>
                <w:sz w:val="28"/>
                <w:szCs w:val="28"/>
                <w:lang w:eastAsia="zh-CN"/>
              </w:rPr>
              <w:t>地勘</w:t>
            </w:r>
            <w:r>
              <w:rPr>
                <w:rFonts w:hint="eastAsia" w:ascii="仿宋_GB2312" w:hAnsi="仿宋_GB2312" w:eastAsia="仿宋_GB2312" w:cs="仿宋_GB2312"/>
                <w:color w:val="auto"/>
                <w:sz w:val="28"/>
                <w:szCs w:val="28"/>
              </w:rPr>
              <w:t>专业合理，</w:t>
            </w:r>
            <w:r>
              <w:rPr>
                <w:rFonts w:hint="eastAsia" w:ascii="仿宋_GB2312" w:hAnsi="仿宋_GB2312" w:eastAsia="仿宋_GB2312" w:cs="仿宋_GB2312"/>
                <w:color w:val="auto"/>
                <w:sz w:val="28"/>
                <w:szCs w:val="28"/>
                <w:lang w:eastAsia="zh-CN"/>
              </w:rPr>
              <w:t>地勘</w:t>
            </w:r>
            <w:r>
              <w:rPr>
                <w:rFonts w:hint="eastAsia" w:ascii="仿宋_GB2312" w:hAnsi="仿宋_GB2312" w:eastAsia="仿宋_GB2312" w:cs="仿宋_GB2312"/>
                <w:color w:val="auto"/>
                <w:sz w:val="28"/>
                <w:szCs w:val="28"/>
              </w:rPr>
              <w:t>专家具备高级职称或具有</w:t>
            </w:r>
            <w:r>
              <w:rPr>
                <w:rFonts w:hint="eastAsia" w:ascii="仿宋_GB2312" w:hAnsi="仿宋_GB2312" w:eastAsia="仿宋_GB2312" w:cs="仿宋_GB2312"/>
                <w:color w:val="auto"/>
                <w:sz w:val="28"/>
                <w:szCs w:val="28"/>
                <w:lang w:val="en-US" w:eastAsia="zh-CN"/>
              </w:rPr>
              <w:t>相等</w:t>
            </w:r>
            <w:r>
              <w:rPr>
                <w:rFonts w:hint="eastAsia" w:ascii="仿宋_GB2312" w:hAnsi="仿宋_GB2312" w:eastAsia="仿宋_GB2312" w:cs="仿宋_GB2312"/>
                <w:color w:val="auto"/>
                <w:sz w:val="28"/>
                <w:szCs w:val="28"/>
              </w:rPr>
              <w:t>相关专业执业资格证书</w:t>
            </w:r>
            <w:r>
              <w:rPr>
                <w:rFonts w:hint="eastAsia" w:ascii="仿宋_GB2312" w:hAnsi="仿宋_GB2312" w:eastAsia="仿宋_GB2312" w:cs="仿宋_GB2312"/>
                <w:color w:val="auto"/>
                <w:sz w:val="28"/>
                <w:szCs w:val="28"/>
                <w:lang w:val="en-US" w:eastAsia="zh-CN"/>
              </w:rPr>
              <w:t>的，每个专家2分，最多得</w:t>
            </w:r>
            <w:r>
              <w:rPr>
                <w:rFonts w:hint="eastAsia" w:ascii="仿宋_GB2312" w:hAnsi="仿宋_GB2312" w:eastAsia="仿宋_GB2312" w:cs="仿宋_GB2312"/>
                <w:color w:val="auto"/>
                <w:sz w:val="28"/>
                <w:szCs w:val="28"/>
              </w:rPr>
              <w:t>8分</w:t>
            </w:r>
            <w:r>
              <w:rPr>
                <w:rFonts w:hint="eastAsia" w:ascii="仿宋_GB2312" w:hAnsi="仿宋_GB2312" w:eastAsia="仿宋_GB2312" w:cs="仿宋_GB2312"/>
                <w:color w:val="auto"/>
                <w:sz w:val="28"/>
                <w:szCs w:val="28"/>
                <w:lang w:eastAsia="zh-CN"/>
              </w:rPr>
              <w:t>。</w:t>
            </w:r>
          </w:p>
          <w:p w14:paraId="4DF60A93">
            <w:pPr>
              <w:spacing w:line="0" w:lineRule="atLeast"/>
              <w:ind w:left="560" w:hanging="560" w:hangingChars="200"/>
              <w:jc w:val="left"/>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lang w:eastAsia="zh-CN"/>
              </w:rPr>
              <w:t>本次标准化地勘</w:t>
            </w:r>
            <w:r>
              <w:rPr>
                <w:rFonts w:hint="eastAsia" w:ascii="仿宋_GB2312" w:hAnsi="仿宋_GB2312" w:eastAsia="仿宋_GB2312" w:cs="仿宋_GB2312"/>
                <w:color w:val="auto"/>
                <w:sz w:val="28"/>
                <w:szCs w:val="28"/>
                <w:lang w:val="en-US" w:eastAsia="zh-CN"/>
              </w:rPr>
              <w:t>方案</w:t>
            </w:r>
            <w:r>
              <w:rPr>
                <w:rFonts w:hint="eastAsia" w:ascii="仿宋_GB2312" w:hAnsi="仿宋_GB2312" w:eastAsia="仿宋_GB2312" w:cs="仿宋_GB2312"/>
                <w:color w:val="auto"/>
                <w:sz w:val="28"/>
                <w:szCs w:val="28"/>
                <w:lang w:eastAsia="zh-CN"/>
              </w:rPr>
              <w:t>（满分12分）主要涵盖项目基础信息、核心勘察内容与技术方案、实施流程规划、质量与安全管控、报告编制等环节。评分将根据方案的全面性与完成质量划分为四档：优秀 (9-12分)：方案周全，环节完整，执行性强。良好 (6-9分)：方案较全面，环节无疏漏。一般 (3-6分)：方案基本完整，但存在不足。较差 (0-3分)：方案有重大缺失或缺陷。</w:t>
            </w:r>
          </w:p>
          <w:p w14:paraId="41730C5B">
            <w:pPr>
              <w:spacing w:line="0" w:lineRule="atLeast"/>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3、项目负责人</w:t>
            </w:r>
            <w:r>
              <w:rPr>
                <w:rFonts w:hint="eastAsia" w:ascii="仿宋_GB2312" w:hAnsi="仿宋_GB2312" w:eastAsia="仿宋_GB2312" w:cs="仿宋_GB2312"/>
                <w:color w:val="auto"/>
                <w:sz w:val="28"/>
                <w:szCs w:val="28"/>
              </w:rPr>
              <w:t>具备高级职称或具有</w:t>
            </w:r>
            <w:r>
              <w:rPr>
                <w:rFonts w:hint="eastAsia" w:ascii="仿宋_GB2312" w:hAnsi="仿宋_GB2312" w:eastAsia="仿宋_GB2312" w:cs="仿宋_GB2312"/>
                <w:color w:val="auto"/>
                <w:sz w:val="28"/>
                <w:szCs w:val="28"/>
                <w:lang w:val="en-US" w:eastAsia="zh-CN"/>
              </w:rPr>
              <w:t>相等</w:t>
            </w:r>
            <w:r>
              <w:rPr>
                <w:rFonts w:hint="eastAsia" w:ascii="仿宋_GB2312" w:hAnsi="仿宋_GB2312" w:eastAsia="仿宋_GB2312" w:cs="仿宋_GB2312"/>
                <w:color w:val="auto"/>
                <w:sz w:val="28"/>
                <w:szCs w:val="28"/>
              </w:rPr>
              <w:t>相关专业执业资格证书</w:t>
            </w:r>
            <w:r>
              <w:rPr>
                <w:rFonts w:hint="eastAsia" w:ascii="仿宋_GB2312" w:hAnsi="仿宋_GB2312" w:eastAsia="仿宋_GB2312" w:cs="仿宋_GB2312"/>
                <w:color w:val="auto"/>
                <w:sz w:val="28"/>
                <w:szCs w:val="28"/>
                <w:lang w:val="en-US" w:eastAsia="zh-CN"/>
              </w:rPr>
              <w:t>的</w:t>
            </w:r>
            <w:r>
              <w:rPr>
                <w:rFonts w:hint="eastAsia" w:ascii="仿宋_GB2312" w:hAnsi="仿宋_GB2312" w:eastAsia="仿宋_GB2312" w:cs="仿宋_GB2312"/>
                <w:color w:val="auto"/>
                <w:sz w:val="28"/>
                <w:szCs w:val="28"/>
              </w:rPr>
              <w:t>得7分，</w:t>
            </w:r>
            <w:r>
              <w:rPr>
                <w:rFonts w:hint="eastAsia" w:ascii="仿宋_GB2312" w:hAnsi="仿宋_GB2312" w:eastAsia="仿宋_GB2312" w:cs="仿宋_GB2312"/>
                <w:color w:val="auto"/>
                <w:sz w:val="28"/>
                <w:szCs w:val="28"/>
                <w:lang w:val="en-US" w:eastAsia="zh-CN"/>
              </w:rPr>
              <w:t>每低一档扣2分。最多得</w:t>
            </w:r>
            <w:r>
              <w:rPr>
                <w:rFonts w:hint="eastAsia" w:ascii="仿宋_GB2312" w:hAnsi="仿宋_GB2312" w:eastAsia="仿宋_GB2312" w:cs="仿宋_GB2312"/>
                <w:color w:val="auto"/>
                <w:sz w:val="28"/>
                <w:szCs w:val="28"/>
              </w:rPr>
              <w:t>7分</w:t>
            </w:r>
            <w:r>
              <w:rPr>
                <w:rFonts w:hint="eastAsia" w:ascii="仿宋_GB2312" w:hAnsi="仿宋_GB2312" w:eastAsia="仿宋_GB2312" w:cs="仿宋_GB2312"/>
                <w:color w:val="auto"/>
                <w:sz w:val="28"/>
                <w:szCs w:val="28"/>
                <w:lang w:eastAsia="zh-CN"/>
              </w:rPr>
              <w:t>。</w:t>
            </w:r>
          </w:p>
          <w:p w14:paraId="78DB516B">
            <w:pPr>
              <w:spacing w:line="0" w:lineRule="atLeast"/>
              <w:ind w:left="560" w:hanging="560" w:hangingChars="200"/>
              <w:jc w:val="left"/>
              <w:rPr>
                <w:rFonts w:hint="eastAsia" w:ascii="仿宋_GB2312" w:hAnsi="仿宋_GB2312" w:eastAsia="仿宋_GB2312" w:cs="仿宋_GB2312"/>
                <w:color w:val="auto"/>
                <w:sz w:val="28"/>
                <w:szCs w:val="28"/>
                <w:highlight w:val="yellow"/>
              </w:rPr>
            </w:pPr>
            <w:r>
              <w:rPr>
                <w:rFonts w:hint="eastAsia" w:ascii="仿宋_GB2312" w:hAnsi="仿宋_GB2312" w:eastAsia="仿宋_GB2312" w:cs="仿宋_GB2312"/>
                <w:color w:val="auto"/>
                <w:sz w:val="28"/>
                <w:szCs w:val="28"/>
              </w:rPr>
              <w:t>4</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服务承诺方案优秀得3分，良好得2分，一般得1分，较差0分（3分）</w:t>
            </w:r>
          </w:p>
        </w:tc>
        <w:tc>
          <w:tcPr>
            <w:tcW w:w="3260" w:type="dxa"/>
            <w:noWrap w:val="0"/>
            <w:vAlign w:val="center"/>
          </w:tcPr>
          <w:p w14:paraId="319756FE">
            <w:pPr>
              <w:spacing w:line="0" w:lineRule="atLeas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30</w:t>
            </w:r>
          </w:p>
        </w:tc>
      </w:tr>
      <w:tr w14:paraId="3BC25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2" w:hRule="atLeast"/>
          <w:jc w:val="center"/>
        </w:trPr>
        <w:tc>
          <w:tcPr>
            <w:tcW w:w="813" w:type="dxa"/>
            <w:noWrap w:val="0"/>
            <w:vAlign w:val="center"/>
          </w:tcPr>
          <w:p w14:paraId="733466D5">
            <w:pPr>
              <w:spacing w:line="0" w:lineRule="atLeast"/>
              <w:jc w:val="left"/>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报价得分</w:t>
            </w:r>
          </w:p>
          <w:p w14:paraId="087A2BBC">
            <w:pPr>
              <w:spacing w:line="0" w:lineRule="atLeast"/>
              <w:jc w:val="center"/>
              <w:rPr>
                <w:rFonts w:ascii="仿宋_GB2312" w:hAnsi="仿宋_GB2312" w:eastAsia="仿宋_GB2312" w:cs="仿宋_GB2312"/>
                <w:sz w:val="32"/>
              </w:rPr>
            </w:pPr>
          </w:p>
        </w:tc>
        <w:tc>
          <w:tcPr>
            <w:tcW w:w="6096" w:type="dxa"/>
            <w:noWrap w:val="0"/>
            <w:vAlign w:val="center"/>
          </w:tcPr>
          <w:p w14:paraId="252D5492">
            <w:pPr>
              <w:spacing w:line="0" w:lineRule="atLeas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1）比选基准价为基数，报价与比选基准价一致得60分；</w:t>
            </w:r>
          </w:p>
          <w:p w14:paraId="65630821">
            <w:pPr>
              <w:spacing w:line="0" w:lineRule="atLeas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2）投标人的报价每高于或低于比选基准价1%扣0.5分（不足1%按比例计算），最多扣10分。</w:t>
            </w:r>
          </w:p>
          <w:p w14:paraId="0DA1C33F">
            <w:pPr>
              <w:spacing w:line="0" w:lineRule="atLeas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比选基准价为有效比选报价的算术平均值（被否决投标的比选单位的投标报价、高于招标控制价的投标报价和比选委员会认为不合理的比选报价不参与比选基准价的计算）；</w:t>
            </w:r>
          </w:p>
          <w:p w14:paraId="56F16324">
            <w:pPr>
              <w:spacing w:line="0" w:lineRule="atLeas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计算公式A(评标基准价)=(A1+A2+…An)/n(n为有效个数，An为某有效投标报价)</w:t>
            </w:r>
          </w:p>
        </w:tc>
        <w:tc>
          <w:tcPr>
            <w:tcW w:w="3260" w:type="dxa"/>
            <w:noWrap w:val="0"/>
            <w:vAlign w:val="center"/>
          </w:tcPr>
          <w:p w14:paraId="46CC69B1">
            <w:pPr>
              <w:spacing w:line="0" w:lineRule="atLeast"/>
              <w:jc w:val="center"/>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60</w:t>
            </w:r>
          </w:p>
        </w:tc>
      </w:tr>
      <w:bookmarkEnd w:id="0"/>
      <w:bookmarkEnd w:id="1"/>
      <w:bookmarkEnd w:id="2"/>
    </w:tbl>
    <w:p w14:paraId="1C2C3E9F">
      <w:pPr>
        <w:rPr>
          <w:rFonts w:hint="eastAsia" w:eastAsia="宋体"/>
          <w:sz w:val="28"/>
          <w:szCs w:val="28"/>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宋体-18030">
    <w:altName w:val="微软雅黑"/>
    <w:panose1 w:val="02010609060101010101"/>
    <w:charset w:val="00"/>
    <w:family w:val="modern"/>
    <w:pitch w:val="default"/>
    <w:sig w:usb0="00000000" w:usb1="00000000" w:usb2="000A005E"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346659"/>
    <w:rsid w:val="0F346659"/>
    <w:rsid w:val="0FAB528C"/>
    <w:rsid w:val="3FF7DBC1"/>
    <w:rsid w:val="5FBF46F8"/>
    <w:rsid w:val="6F79A3D0"/>
    <w:rsid w:val="79FFED5C"/>
    <w:rsid w:val="7EBBF0C8"/>
    <w:rsid w:val="9FDAC8B8"/>
    <w:rsid w:val="E7C698FD"/>
    <w:rsid w:val="FBAE3AFF"/>
    <w:rsid w:val="FDCF2C1E"/>
    <w:rsid w:val="FEEFB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line="360" w:lineRule="auto"/>
      <w:outlineLvl w:val="0"/>
    </w:pPr>
    <w:rPr>
      <w:b/>
      <w:bCs/>
      <w:kern w:val="44"/>
      <w:sz w:val="32"/>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0"/>
    <w:pPr>
      <w:ind w:left="420" w:leftChars="200"/>
    </w:pPr>
    <w:rPr>
      <w:rFonts w:cs="Times New Roman"/>
      <w:szCs w:val="32"/>
    </w:rPr>
  </w:style>
  <w:style w:type="paragraph" w:styleId="4">
    <w:name w:val="header"/>
    <w:basedOn w:val="1"/>
    <w:qFormat/>
    <w:uiPriority w:val="99"/>
    <w:pPr>
      <w:pBdr>
        <w:bottom w:val="single" w:color="auto" w:sz="6" w:space="1"/>
      </w:pBdr>
      <w:tabs>
        <w:tab w:val="center" w:pos="4153"/>
        <w:tab w:val="right" w:pos="8306"/>
      </w:tabs>
      <w:snapToGrid w:val="0"/>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17</TotalTime>
  <ScaleCrop>false</ScaleCrop>
  <LinksUpToDate>false</LinksUpToDate>
  <CharactersWithSpaces>0</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2025-11-20T09:20:00Z</dcterms:created>
  <dc:creator>Garbage</dc:creator>
  <cp:lastModifiedBy>利</cp:lastModifiedBy>
  <dcterms:modified xsi:type="dcterms:W3CDTF">2026-04-07T09:36:54Z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808A21614058AE4E54131D6964BF9675_43</vt:lpwstr>
  </property>
  <property fmtid="{D5CDD505-2E9C-101B-9397-08002B2CF9AE}" pid="4" name="KSOTemplateDocerSaveRecord">
    <vt:lpwstr>eyJoZGlkIjoiYWQ3ZmVhMTU4OTg3NDAyYmJjNTlhZGUyMTBmZDZjOGEiLCJ1c2VySWQiOiI0MTA3Mzk2NzQifQ==</vt:lpwstr>
  </property>
</Properties>
</file>