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61CDCD">
      <w:pPr>
        <w:pStyle w:val="3"/>
        <w:spacing w:line="0" w:lineRule="atLeast"/>
        <w:jc w:val="both"/>
        <w:rPr>
          <w:rFonts w:hint="default" w:ascii="黑体" w:hAnsi="宋体" w:eastAsia="黑体" w:cs="宋体-18030"/>
          <w:b w:val="0"/>
          <w:bCs w:val="0"/>
          <w:kern w:val="2"/>
          <w:sz w:val="32"/>
          <w:szCs w:val="32"/>
          <w:lang w:val="en-US" w:eastAsia="zh-CN" w:bidi="ar-SA"/>
        </w:rPr>
      </w:pPr>
      <w:bookmarkStart w:id="3" w:name="_GoBack"/>
      <w:bookmarkEnd w:id="3"/>
      <w:bookmarkStart w:id="0" w:name="_Toc16820"/>
      <w:bookmarkStart w:id="1" w:name="_Toc519977196"/>
      <w:bookmarkStart w:id="2" w:name="_Toc23084"/>
      <w:r>
        <w:rPr>
          <w:rFonts w:hint="eastAsia" w:ascii="黑体" w:hAnsi="宋体" w:eastAsia="黑体" w:cs="宋体-18030"/>
          <w:b w:val="0"/>
          <w:bCs w:val="0"/>
          <w:kern w:val="2"/>
          <w:sz w:val="32"/>
          <w:szCs w:val="32"/>
          <w:lang w:val="en-US" w:eastAsia="zh-CN" w:bidi="ar-SA"/>
        </w:rPr>
        <w:t>附件1</w:t>
      </w:r>
    </w:p>
    <w:p w14:paraId="1677B960">
      <w:pPr>
        <w:pStyle w:val="3"/>
        <w:spacing w:line="0" w:lineRule="atLeast"/>
        <w:ind w:firstLine="3213" w:firstLineChars="1000"/>
        <w:jc w:val="both"/>
        <w:rPr>
          <w:rFonts w:hint="eastAsia" w:ascii="方正小标宋简体" w:hAnsi="方正小标宋简体" w:eastAsia="方正小标宋简体" w:cs="方正小标宋简体"/>
          <w:color w:val="000000"/>
          <w:kern w:val="0"/>
        </w:rPr>
      </w:pPr>
      <w:r>
        <w:rPr>
          <w:rFonts w:hint="eastAsia" w:ascii="方正小标宋简体" w:hAnsi="方正小标宋简体" w:eastAsia="方正小标宋简体" w:cs="方正小标宋简体"/>
          <w:color w:val="000000"/>
          <w:kern w:val="0"/>
        </w:rPr>
        <w:t>比选评分标准</w:t>
      </w:r>
    </w:p>
    <w:p w14:paraId="4302C331"/>
    <w:tbl>
      <w:tblPr>
        <w:tblStyle w:val="5"/>
        <w:tblW w:w="101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6096"/>
        <w:gridCol w:w="3260"/>
      </w:tblGrid>
      <w:tr w14:paraId="1298C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813" w:type="dxa"/>
            <w:noWrap w:val="0"/>
            <w:vAlign w:val="center"/>
          </w:tcPr>
          <w:p w14:paraId="05D5B5F1">
            <w:pPr>
              <w:spacing w:line="0" w:lineRule="atLeast"/>
              <w:jc w:val="center"/>
              <w:rPr>
                <w:rFonts w:ascii="仿宋_GB2312" w:hAnsi="仿宋_GB2312" w:eastAsia="仿宋_GB2312" w:cs="仿宋_GB2312"/>
                <w:sz w:val="32"/>
              </w:rPr>
            </w:pPr>
            <w:r>
              <w:rPr>
                <w:rFonts w:hint="eastAsia" w:ascii="仿宋_GB2312" w:hAnsi="仿宋_GB2312" w:eastAsia="仿宋_GB2312" w:cs="仿宋_GB2312"/>
                <w:sz w:val="28"/>
                <w:szCs w:val="28"/>
              </w:rPr>
              <w:t>评分项</w:t>
            </w:r>
          </w:p>
        </w:tc>
        <w:tc>
          <w:tcPr>
            <w:tcW w:w="6096" w:type="dxa"/>
            <w:noWrap w:val="0"/>
            <w:vAlign w:val="center"/>
          </w:tcPr>
          <w:p w14:paraId="0D3EE6DC">
            <w:pPr>
              <w:spacing w:line="0" w:lineRule="atLeas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评分标准</w:t>
            </w:r>
          </w:p>
        </w:tc>
        <w:tc>
          <w:tcPr>
            <w:tcW w:w="3260" w:type="dxa"/>
            <w:noWrap w:val="0"/>
            <w:vAlign w:val="center"/>
          </w:tcPr>
          <w:p w14:paraId="3E11B330">
            <w:pPr>
              <w:spacing w:line="0" w:lineRule="atLeas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分值</w:t>
            </w:r>
          </w:p>
        </w:tc>
      </w:tr>
      <w:tr w14:paraId="26189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9" w:hRule="atLeast"/>
          <w:jc w:val="center"/>
        </w:trPr>
        <w:tc>
          <w:tcPr>
            <w:tcW w:w="813" w:type="dxa"/>
            <w:noWrap w:val="0"/>
            <w:vAlign w:val="center"/>
          </w:tcPr>
          <w:p w14:paraId="06DFDADE">
            <w:pPr>
              <w:spacing w:line="0" w:lineRule="atLeast"/>
              <w:jc w:val="lef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相关业绩</w:t>
            </w:r>
          </w:p>
          <w:p w14:paraId="4413F97E">
            <w:pPr>
              <w:spacing w:line="0" w:lineRule="atLeast"/>
              <w:jc w:val="center"/>
              <w:rPr>
                <w:rFonts w:ascii="仿宋_GB2312" w:hAnsi="仿宋_GB2312" w:eastAsia="仿宋_GB2312" w:cs="仿宋_GB2312"/>
                <w:sz w:val="32"/>
              </w:rPr>
            </w:pPr>
          </w:p>
        </w:tc>
        <w:tc>
          <w:tcPr>
            <w:tcW w:w="6096" w:type="dxa"/>
            <w:noWrap w:val="0"/>
            <w:vAlign w:val="center"/>
          </w:tcPr>
          <w:p w14:paraId="7B8E57B3">
            <w:pPr>
              <w:spacing w:line="0" w:lineRule="atLeast"/>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近3年的项目</w:t>
            </w:r>
            <w:r>
              <w:rPr>
                <w:rFonts w:hint="eastAsia" w:ascii="仿宋_GB2312" w:hAnsi="仿宋_GB2312" w:eastAsia="仿宋_GB2312" w:cs="仿宋_GB2312"/>
                <w:color w:val="auto"/>
                <w:sz w:val="28"/>
                <w:szCs w:val="28"/>
                <w:lang w:eastAsia="zh-CN"/>
              </w:rPr>
              <w:t>监理</w:t>
            </w:r>
            <w:r>
              <w:rPr>
                <w:rFonts w:hint="eastAsia" w:ascii="仿宋_GB2312" w:hAnsi="仿宋_GB2312" w:eastAsia="仿宋_GB2312" w:cs="仿宋_GB2312"/>
                <w:color w:val="auto"/>
                <w:sz w:val="28"/>
                <w:szCs w:val="28"/>
              </w:rPr>
              <w:t>类服务业绩（合同或中标通知书），每个业绩4分，最多得10分</w:t>
            </w:r>
          </w:p>
        </w:tc>
        <w:tc>
          <w:tcPr>
            <w:tcW w:w="3260" w:type="dxa"/>
            <w:noWrap w:val="0"/>
            <w:vAlign w:val="center"/>
          </w:tcPr>
          <w:p w14:paraId="66A8E44D">
            <w:pPr>
              <w:spacing w:line="0" w:lineRule="atLeas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10</w:t>
            </w:r>
          </w:p>
        </w:tc>
      </w:tr>
      <w:tr w14:paraId="52F0E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5" w:hRule="atLeast"/>
          <w:jc w:val="center"/>
        </w:trPr>
        <w:tc>
          <w:tcPr>
            <w:tcW w:w="813" w:type="dxa"/>
            <w:noWrap w:val="0"/>
            <w:vAlign w:val="center"/>
          </w:tcPr>
          <w:p w14:paraId="4DA34C08">
            <w:pPr>
              <w:spacing w:line="0" w:lineRule="atLeast"/>
              <w:jc w:val="left"/>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方案得分</w:t>
            </w:r>
          </w:p>
          <w:p w14:paraId="188F8FDA">
            <w:pPr>
              <w:spacing w:line="0" w:lineRule="atLeast"/>
              <w:jc w:val="center"/>
              <w:rPr>
                <w:rFonts w:ascii="仿宋_GB2312" w:hAnsi="仿宋_GB2312" w:eastAsia="仿宋_GB2312" w:cs="仿宋_GB2312"/>
                <w:color w:val="auto"/>
                <w:sz w:val="32"/>
              </w:rPr>
            </w:pPr>
          </w:p>
        </w:tc>
        <w:tc>
          <w:tcPr>
            <w:tcW w:w="6096" w:type="dxa"/>
            <w:noWrap w:val="0"/>
            <w:vAlign w:val="center"/>
          </w:tcPr>
          <w:p w14:paraId="7132B477">
            <w:pPr>
              <w:numPr>
                <w:ilvl w:val="0"/>
                <w:numId w:val="1"/>
              </w:numPr>
              <w:spacing w:line="0" w:lineRule="atLeast"/>
              <w:ind w:left="560" w:hanging="560" w:hangingChars="200"/>
              <w:jc w:val="left"/>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rPr>
              <w:t>组织机构人员配备，</w:t>
            </w:r>
            <w:r>
              <w:rPr>
                <w:rFonts w:hint="eastAsia" w:ascii="仿宋_GB2312" w:hAnsi="仿宋_GB2312" w:eastAsia="仿宋_GB2312" w:cs="仿宋_GB2312"/>
                <w:color w:val="auto"/>
                <w:sz w:val="28"/>
                <w:szCs w:val="28"/>
                <w:lang w:eastAsia="zh-CN"/>
              </w:rPr>
              <w:t>监理</w:t>
            </w:r>
            <w:r>
              <w:rPr>
                <w:rFonts w:hint="eastAsia" w:ascii="仿宋_GB2312" w:hAnsi="仿宋_GB2312" w:eastAsia="仿宋_GB2312" w:cs="仿宋_GB2312"/>
                <w:color w:val="auto"/>
                <w:sz w:val="28"/>
                <w:szCs w:val="28"/>
              </w:rPr>
              <w:t>专业合理</w:t>
            </w:r>
            <w:r>
              <w:rPr>
                <w:rFonts w:hint="eastAsia" w:ascii="仿宋_GB2312" w:hAnsi="仿宋_GB2312" w:eastAsia="仿宋_GB2312" w:cs="仿宋_GB2312"/>
                <w:color w:val="auto"/>
                <w:sz w:val="28"/>
                <w:szCs w:val="28"/>
                <w:lang w:eastAsia="zh-CN"/>
              </w:rPr>
              <w:t>给</w:t>
            </w:r>
            <w:r>
              <w:rPr>
                <w:rFonts w:hint="eastAsia" w:ascii="仿宋_GB2312" w:hAnsi="仿宋_GB2312" w:eastAsia="仿宋_GB2312" w:cs="仿宋_GB2312"/>
                <w:color w:val="auto"/>
                <w:sz w:val="28"/>
                <w:szCs w:val="28"/>
                <w:lang w:val="en-US" w:eastAsia="zh-CN"/>
              </w:rPr>
              <w:t>1-4分</w:t>
            </w:r>
          </w:p>
          <w:p w14:paraId="7E765A08">
            <w:pPr>
              <w:numPr>
                <w:ilvl w:val="0"/>
                <w:numId w:val="1"/>
              </w:numPr>
              <w:spacing w:line="0" w:lineRule="atLeast"/>
              <w:ind w:left="560" w:hanging="560" w:hangingChars="200"/>
              <w:jc w:val="left"/>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专业监理人员</w:t>
            </w:r>
            <w:r>
              <w:rPr>
                <w:rFonts w:hint="eastAsia" w:ascii="仿宋_GB2312" w:hAnsi="仿宋_GB2312" w:eastAsia="仿宋_GB2312" w:cs="仿宋_GB2312"/>
                <w:color w:val="auto"/>
                <w:sz w:val="28"/>
                <w:szCs w:val="28"/>
              </w:rPr>
              <w:t>具</w:t>
            </w:r>
            <w:r>
              <w:rPr>
                <w:rFonts w:hint="eastAsia" w:ascii="仿宋_GB2312" w:hAnsi="仿宋_GB2312" w:eastAsia="仿宋_GB2312" w:cs="仿宋_GB2312"/>
                <w:color w:val="auto"/>
                <w:sz w:val="28"/>
                <w:szCs w:val="28"/>
                <w:lang w:eastAsia="zh-CN"/>
              </w:rPr>
              <w:t>备高级以上职称或执业类资格证书经监理机构培训合格、具备三年以上工作经验</w:t>
            </w:r>
            <w:r>
              <w:rPr>
                <w:rFonts w:hint="eastAsia" w:ascii="仿宋_GB2312" w:hAnsi="仿宋_GB2312" w:eastAsia="仿宋_GB2312" w:cs="仿宋_GB2312"/>
                <w:color w:val="auto"/>
                <w:sz w:val="28"/>
                <w:szCs w:val="28"/>
                <w:lang w:val="en-US" w:eastAsia="zh-CN"/>
              </w:rPr>
              <w:t>的监理人员1人得1分，最高得4</w:t>
            </w:r>
            <w:r>
              <w:rPr>
                <w:rFonts w:hint="eastAsia" w:ascii="仿宋_GB2312" w:hAnsi="仿宋_GB2312" w:eastAsia="仿宋_GB2312" w:cs="仿宋_GB2312"/>
                <w:color w:val="auto"/>
                <w:sz w:val="28"/>
                <w:szCs w:val="28"/>
              </w:rPr>
              <w:t>分</w:t>
            </w:r>
            <w:r>
              <w:rPr>
                <w:rFonts w:hint="eastAsia" w:ascii="仿宋_GB2312" w:hAnsi="仿宋_GB2312" w:eastAsia="仿宋_GB2312" w:cs="仿宋_GB2312"/>
                <w:color w:val="auto"/>
                <w:sz w:val="28"/>
                <w:szCs w:val="28"/>
                <w:lang w:eastAsia="zh-CN"/>
              </w:rPr>
              <w:t>。</w:t>
            </w:r>
          </w:p>
          <w:p w14:paraId="7407D430">
            <w:pPr>
              <w:numPr>
                <w:ilvl w:val="0"/>
                <w:numId w:val="2"/>
              </w:numPr>
              <w:spacing w:line="0" w:lineRule="atLeast"/>
              <w:ind w:left="560" w:hanging="560" w:hangingChars="200"/>
              <w:jc w:val="left"/>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本次标准化监理工作</w:t>
            </w:r>
            <w:r>
              <w:rPr>
                <w:rFonts w:hint="eastAsia" w:ascii="仿宋_GB2312" w:hAnsi="仿宋_GB2312" w:eastAsia="仿宋_GB2312" w:cs="仿宋_GB2312"/>
                <w:color w:val="auto"/>
                <w:sz w:val="28"/>
                <w:szCs w:val="28"/>
                <w:lang w:val="en-US" w:eastAsia="zh-CN"/>
              </w:rPr>
              <w:t>方案</w:t>
            </w:r>
            <w:r>
              <w:rPr>
                <w:rFonts w:hint="eastAsia" w:ascii="仿宋_GB2312" w:hAnsi="仿宋_GB2312" w:eastAsia="仿宋_GB2312" w:cs="仿宋_GB2312"/>
                <w:color w:val="auto"/>
                <w:sz w:val="28"/>
                <w:szCs w:val="28"/>
                <w:lang w:eastAsia="zh-CN"/>
              </w:rPr>
              <w:t>（满分12分）主要涵盖监理依据、监理组机构、三大控制方案、安全监理方案、监理工作流程等环节。评分将根据方案的全面性与完成质量划分为四档：</w:t>
            </w:r>
          </w:p>
          <w:p w14:paraId="6F6A103E">
            <w:pPr>
              <w:spacing w:line="0" w:lineRule="atLeast"/>
              <w:ind w:left="559" w:leftChars="266" w:firstLine="0" w:firstLineChars="0"/>
              <w:jc w:val="left"/>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优秀 (9-12分)：方案周全，环节完整，执行性强。</w:t>
            </w:r>
          </w:p>
          <w:p w14:paraId="3DCFCACD">
            <w:pPr>
              <w:spacing w:line="0" w:lineRule="atLeast"/>
              <w:ind w:left="559" w:leftChars="266" w:firstLine="0" w:firstLineChars="0"/>
              <w:jc w:val="left"/>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良好 (6-9分)：方案较全面，环节无疏漏。</w:t>
            </w:r>
          </w:p>
          <w:p w14:paraId="1DE1E394">
            <w:pPr>
              <w:spacing w:line="0" w:lineRule="atLeast"/>
              <w:ind w:left="559" w:leftChars="266" w:firstLine="0" w:firstLineChars="0"/>
              <w:jc w:val="left"/>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一般 (3-6分)：方案基本完整，但存在不足。</w:t>
            </w:r>
          </w:p>
          <w:p w14:paraId="5B1B96C4">
            <w:pPr>
              <w:spacing w:line="0" w:lineRule="atLeast"/>
              <w:ind w:left="559" w:leftChars="266" w:firstLine="0" w:firstLineChars="0"/>
              <w:jc w:val="left"/>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eastAsia="zh-CN"/>
              </w:rPr>
              <w:t>较差 (0-3分)：方案有重大缺失或缺陷。</w:t>
            </w:r>
          </w:p>
          <w:p w14:paraId="64B6260D">
            <w:pPr>
              <w:spacing w:line="0" w:lineRule="atLeast"/>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val="en-US" w:eastAsia="zh-CN"/>
              </w:rPr>
              <w:t>3、项目负责人</w:t>
            </w:r>
            <w:r>
              <w:rPr>
                <w:rFonts w:hint="eastAsia" w:ascii="仿宋_GB2312" w:hAnsi="仿宋_GB2312" w:eastAsia="仿宋_GB2312" w:cs="仿宋_GB2312"/>
                <w:color w:val="auto"/>
                <w:sz w:val="28"/>
                <w:szCs w:val="28"/>
              </w:rPr>
              <w:t>具备相关专业执业资格证书</w:t>
            </w:r>
            <w:r>
              <w:rPr>
                <w:rFonts w:hint="eastAsia" w:ascii="仿宋_GB2312" w:hAnsi="仿宋_GB2312" w:eastAsia="仿宋_GB2312" w:cs="仿宋_GB2312"/>
                <w:color w:val="auto"/>
                <w:sz w:val="28"/>
                <w:szCs w:val="28"/>
                <w:lang w:eastAsia="zh-CN"/>
              </w:rPr>
              <w:t>同时具备高级职称</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得</w:t>
            </w:r>
            <w:r>
              <w:rPr>
                <w:rFonts w:hint="eastAsia" w:ascii="仿宋_GB2312" w:hAnsi="仿宋_GB2312" w:eastAsia="仿宋_GB2312" w:cs="仿宋_GB2312"/>
                <w:color w:val="auto"/>
                <w:sz w:val="28"/>
                <w:szCs w:val="28"/>
              </w:rPr>
              <w:t>7分</w:t>
            </w:r>
            <w:r>
              <w:rPr>
                <w:rFonts w:hint="eastAsia" w:ascii="仿宋_GB2312" w:hAnsi="仿宋_GB2312" w:eastAsia="仿宋_GB2312" w:cs="仿宋_GB2312"/>
                <w:color w:val="auto"/>
                <w:sz w:val="28"/>
                <w:szCs w:val="28"/>
                <w:lang w:eastAsia="zh-CN"/>
              </w:rPr>
              <w:t>。</w:t>
            </w:r>
          </w:p>
          <w:p w14:paraId="346658E4">
            <w:pPr>
              <w:spacing w:line="0" w:lineRule="atLeast"/>
              <w:ind w:left="560" w:hanging="560" w:hangingChars="200"/>
              <w:jc w:val="left"/>
              <w:rPr>
                <w:rFonts w:hint="eastAsia" w:ascii="仿宋_GB2312" w:hAnsi="仿宋_GB2312" w:eastAsia="仿宋_GB2312" w:cs="仿宋_GB2312"/>
                <w:color w:val="auto"/>
                <w:sz w:val="28"/>
                <w:szCs w:val="28"/>
                <w:highlight w:val="yellow"/>
              </w:rPr>
            </w:pPr>
            <w:r>
              <w:rPr>
                <w:rFonts w:hint="eastAsia" w:ascii="仿宋_GB2312" w:hAnsi="仿宋_GB2312" w:eastAsia="仿宋_GB2312" w:cs="仿宋_GB2312"/>
                <w:color w:val="auto"/>
                <w:sz w:val="28"/>
                <w:szCs w:val="28"/>
              </w:rPr>
              <w:t>4</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服务承诺方案优秀得3分，良好得2分，一般得1分，较差0分（3分）</w:t>
            </w:r>
          </w:p>
        </w:tc>
        <w:tc>
          <w:tcPr>
            <w:tcW w:w="3260" w:type="dxa"/>
            <w:noWrap w:val="0"/>
            <w:vAlign w:val="center"/>
          </w:tcPr>
          <w:p w14:paraId="7669AD14">
            <w:pPr>
              <w:spacing w:line="0" w:lineRule="atLeas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30</w:t>
            </w:r>
          </w:p>
        </w:tc>
      </w:tr>
      <w:tr w14:paraId="41B74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7" w:hRule="atLeast"/>
          <w:jc w:val="center"/>
        </w:trPr>
        <w:tc>
          <w:tcPr>
            <w:tcW w:w="813" w:type="dxa"/>
            <w:noWrap w:val="0"/>
            <w:vAlign w:val="center"/>
          </w:tcPr>
          <w:p w14:paraId="6A3093FC">
            <w:pPr>
              <w:spacing w:line="0" w:lineRule="atLeast"/>
              <w:jc w:val="left"/>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报价得分</w:t>
            </w:r>
          </w:p>
          <w:p w14:paraId="10D93C8D">
            <w:pPr>
              <w:spacing w:line="0" w:lineRule="atLeast"/>
              <w:jc w:val="center"/>
              <w:rPr>
                <w:rFonts w:ascii="仿宋_GB2312" w:hAnsi="仿宋_GB2312" w:eastAsia="仿宋_GB2312" w:cs="仿宋_GB2312"/>
                <w:sz w:val="32"/>
              </w:rPr>
            </w:pPr>
          </w:p>
        </w:tc>
        <w:tc>
          <w:tcPr>
            <w:tcW w:w="6096" w:type="dxa"/>
            <w:noWrap w:val="0"/>
            <w:vAlign w:val="center"/>
          </w:tcPr>
          <w:p w14:paraId="5A0D5DE2">
            <w:pPr>
              <w:spacing w:line="0" w:lineRule="atLeas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1）比选基准价为基数，报价与比选基准价一致得60分；</w:t>
            </w:r>
          </w:p>
          <w:p w14:paraId="2E5E34CB">
            <w:pPr>
              <w:spacing w:line="0" w:lineRule="atLeas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2）投标人的报价每高于或低于比选基准价1%扣0.5分（不足1%按比例计算），最多扣10分。</w:t>
            </w:r>
          </w:p>
          <w:p w14:paraId="5BCE1BA2">
            <w:pPr>
              <w:spacing w:line="0" w:lineRule="atLeas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比选基准价为有效比选报价的算术平均值（被否决投标的比选单位的投标报价、高于招标控制价的投标报价和比选委员会认为不合理的比选报价不参与比选基准价的计算）；</w:t>
            </w:r>
          </w:p>
          <w:p w14:paraId="747C7EAF">
            <w:pPr>
              <w:spacing w:line="0" w:lineRule="atLeas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计算公式A(评标基准价)=(A1+A2+…An)/n(n为有效个数，An为某有效投标报价)</w:t>
            </w:r>
          </w:p>
        </w:tc>
        <w:tc>
          <w:tcPr>
            <w:tcW w:w="3260" w:type="dxa"/>
            <w:noWrap w:val="0"/>
            <w:vAlign w:val="center"/>
          </w:tcPr>
          <w:p w14:paraId="6AC89742">
            <w:pPr>
              <w:spacing w:line="0" w:lineRule="atLeast"/>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60</w:t>
            </w:r>
          </w:p>
        </w:tc>
      </w:tr>
      <w:bookmarkEnd w:id="0"/>
      <w:bookmarkEnd w:id="1"/>
      <w:bookmarkEnd w:id="2"/>
    </w:tbl>
    <w:p w14:paraId="36666C21">
      <w:pPr>
        <w:rPr>
          <w:rFonts w:hint="eastAsia" w:eastAsia="宋体"/>
          <w:sz w:val="28"/>
          <w:szCs w:val="28"/>
          <w:lang w:eastAsia="zh-CN"/>
        </w:rPr>
      </w:pP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宋体-18030">
    <w:altName w:val="微软雅黑"/>
    <w:panose1 w:val="02010609060101010101"/>
    <w:charset w:val="00"/>
    <w:family w:val="modern"/>
    <w:pitch w:val="default"/>
    <w:sig w:usb0="00000000" w:usb1="00000000" w:usb2="000A005E" w:usb3="00000000" w:csb0="00040001" w:csb1="0000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8D150A"/>
    <w:multiLevelType w:val="singleLevel"/>
    <w:tmpl w:val="B48D150A"/>
    <w:lvl w:ilvl="0" w:tentative="0">
      <w:start w:val="1"/>
      <w:numFmt w:val="decimal"/>
      <w:suff w:val="nothing"/>
      <w:lvlText w:val="%1、"/>
      <w:lvlJc w:val="left"/>
    </w:lvl>
  </w:abstractNum>
  <w:abstractNum w:abstractNumId="1">
    <w:nsid w:val="F7FFCB08"/>
    <w:multiLevelType w:val="singleLevel"/>
    <w:tmpl w:val="F7FFCB08"/>
    <w:lvl w:ilvl="0" w:tentative="0">
      <w:start w:val="2"/>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lhYjQ5YWIyYjhlZjBiOTlmM2E5NWUwYWYyMjQzYWUifQ=="/>
  </w:docVars>
  <w:rsids>
    <w:rsidRoot w:val="0F346659"/>
    <w:rsid w:val="0F346659"/>
    <w:rsid w:val="0FAB528C"/>
    <w:rsid w:val="1BFFEC30"/>
    <w:rsid w:val="1FED5925"/>
    <w:rsid w:val="2BF6E51C"/>
    <w:rsid w:val="3FFD6DAE"/>
    <w:rsid w:val="5FBF46F8"/>
    <w:rsid w:val="6DFFBCCE"/>
    <w:rsid w:val="6F79A3D0"/>
    <w:rsid w:val="73BF8D94"/>
    <w:rsid w:val="769BD433"/>
    <w:rsid w:val="78375437"/>
    <w:rsid w:val="79FFED5C"/>
    <w:rsid w:val="7B4F8C49"/>
    <w:rsid w:val="7BFBC1EF"/>
    <w:rsid w:val="7DFFD7D7"/>
    <w:rsid w:val="7F559307"/>
    <w:rsid w:val="7FF7729B"/>
    <w:rsid w:val="9FDAC8B8"/>
    <w:rsid w:val="AC8929E1"/>
    <w:rsid w:val="BA3D986D"/>
    <w:rsid w:val="BDD750B5"/>
    <w:rsid w:val="BF7DDCD0"/>
    <w:rsid w:val="DEF7EBD6"/>
    <w:rsid w:val="DEFFCD48"/>
    <w:rsid w:val="E4FC4253"/>
    <w:rsid w:val="E7C698FD"/>
    <w:rsid w:val="EBFCE7D5"/>
    <w:rsid w:val="EDBF0BF6"/>
    <w:rsid w:val="F13F603A"/>
    <w:rsid w:val="FBFF4EE8"/>
    <w:rsid w:val="FD7F85B5"/>
    <w:rsid w:val="FDCF2C1E"/>
    <w:rsid w:val="FEEFB3AF"/>
    <w:rsid w:val="FFDB490C"/>
    <w:rsid w:val="FFE701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line="360" w:lineRule="auto"/>
      <w:outlineLvl w:val="0"/>
    </w:pPr>
    <w:rPr>
      <w:b/>
      <w:bCs/>
      <w:kern w:val="44"/>
      <w:sz w:val="32"/>
      <w:szCs w:val="4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qFormat/>
    <w:uiPriority w:val="0"/>
    <w:pPr>
      <w:ind w:left="420" w:leftChars="200"/>
    </w:pPr>
    <w:rPr>
      <w:rFonts w:cs="Times New Roman"/>
      <w:szCs w:val="32"/>
    </w:rPr>
  </w:style>
  <w:style w:type="paragraph" w:styleId="4">
    <w:name w:val="header"/>
    <w:basedOn w:val="1"/>
    <w:qFormat/>
    <w:uiPriority w:val="99"/>
    <w:pPr>
      <w:pBdr>
        <w:bottom w:val="single" w:color="auto" w:sz="6" w:space="1"/>
      </w:pBdr>
      <w:tabs>
        <w:tab w:val="center" w:pos="4153"/>
        <w:tab w:val="right" w:pos="8306"/>
      </w:tabs>
      <w:snapToGrid w:val="0"/>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540</Words>
  <Characters>582</Characters>
  <Lines>0</Lines>
  <Paragraphs>0</Paragraphs>
  <TotalTime>59</TotalTime>
  <ScaleCrop>false</ScaleCrop>
  <LinksUpToDate>false</LinksUpToDate>
  <CharactersWithSpaces>586</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2025-11-23T09:20:00Z</dcterms:created>
  <dc:creator>Garbage</dc:creator>
  <cp:lastModifiedBy>利</cp:lastModifiedBy>
  <dcterms:modified xsi:type="dcterms:W3CDTF">2026-03-27T08:26:03Z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91B7279FF1B042A2AC0EABECF432B38D_13</vt:lpwstr>
  </property>
  <property fmtid="{D5CDD505-2E9C-101B-9397-08002B2CF9AE}" pid="4" name="KSOTemplateDocerSaveRecord">
    <vt:lpwstr>eyJoZGlkIjoiYWQ3ZmVhMTU4OTg3NDAyYmJjNTlhZGUyMTBmZDZjOGEiLCJ1c2VySWQiOiI0MTA3Mzk2NzQifQ==</vt:lpwstr>
  </property>
</Properties>
</file>