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pageBreakBefore w:val="0"/>
        <w:topLinePunct w:val="0"/>
        <w:bidi w:val="0"/>
        <w:adjustRightInd w:val="0"/>
        <w:snapToGrid w:val="0"/>
        <w:spacing w:before="120" w:after="120" w:line="240" w:lineRule="auto"/>
        <w:ind w:left="0" w:leftChars="0" w:firstLine="2674" w:firstLineChars="600"/>
        <w:jc w:val="both"/>
        <w:textAlignment w:val="auto"/>
        <w:rPr>
          <w:rFonts w:hint="eastAsia" w:ascii="宋体" w:hAnsi="宋体" w:eastAsia="宋体" w:cs="宋体"/>
          <w:spacing w:val="2"/>
        </w:rPr>
      </w:pPr>
      <w:bookmarkStart w:id="4" w:name="_GoBack"/>
      <w:bookmarkEnd w:id="4"/>
      <w:bookmarkStart w:id="0" w:name="_Toc25617"/>
      <w:bookmarkStart w:id="1" w:name="_Toc27427"/>
      <w:bookmarkStart w:id="2" w:name="_Toc531331740"/>
      <w:r>
        <w:rPr>
          <w:rFonts w:hint="eastAsia" w:hAnsi="宋体" w:cs="宋体"/>
          <w:spacing w:val="2"/>
          <w:lang w:eastAsia="zh-CN"/>
        </w:rPr>
        <w:t>比选评分标准</w:t>
      </w:r>
      <w:bookmarkEnd w:id="0"/>
      <w:bookmarkEnd w:id="1"/>
      <w:bookmarkEnd w:id="2"/>
    </w:p>
    <w:tbl>
      <w:tblPr>
        <w:tblStyle w:val="4"/>
        <w:tblW w:w="9652" w:type="dxa"/>
        <w:jc w:val="center"/>
        <w:tblLayout w:type="fixed"/>
        <w:tblCellMar>
          <w:top w:w="0" w:type="dxa"/>
          <w:left w:w="0" w:type="dxa"/>
          <w:bottom w:w="0" w:type="dxa"/>
          <w:right w:w="0" w:type="dxa"/>
        </w:tblCellMar>
      </w:tblPr>
      <w:tblGrid>
        <w:gridCol w:w="1442"/>
        <w:gridCol w:w="2477"/>
        <w:gridCol w:w="5733"/>
      </w:tblGrid>
      <w:tr>
        <w:tblPrEx>
          <w:tblCellMar>
            <w:top w:w="0" w:type="dxa"/>
            <w:left w:w="0" w:type="dxa"/>
            <w:bottom w:w="0" w:type="dxa"/>
            <w:right w:w="0" w:type="dxa"/>
          </w:tblCellMar>
        </w:tblPrEx>
        <w:trPr>
          <w:wAfter w:w="0" w:type="auto"/>
          <w:trHeight w:val="611" w:hRule="atLeast"/>
          <w:jc w:val="center"/>
        </w:trPr>
        <w:tc>
          <w:tcPr>
            <w:tcW w:w="1442" w:type="dxa"/>
            <w:vMerge w:val="restart"/>
            <w:tcBorders>
              <w:top w:val="single" w:color="auto" w:sz="4" w:space="0"/>
              <w:left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bookmarkStart w:id="3" w:name="bookmark82"/>
            <w:bookmarkEnd w:id="3"/>
            <w:r>
              <w:rPr>
                <w:rFonts w:hint="eastAsia" w:ascii="宋体" w:hAnsi="宋体" w:eastAsia="宋体" w:cs="宋体"/>
                <w:sz w:val="21"/>
                <w:szCs w:val="21"/>
              </w:rPr>
              <w:t>商务评分标准</w:t>
            </w:r>
            <w:r>
              <w:rPr>
                <w:rFonts w:hint="eastAsia" w:hAnsi="宋体" w:cs="宋体"/>
                <w:sz w:val="21"/>
                <w:szCs w:val="21"/>
                <w:lang w:val="en-US" w:eastAsia="zh-CN"/>
              </w:rPr>
              <w:t>5</w:t>
            </w:r>
            <w:r>
              <w:rPr>
                <w:rFonts w:hint="eastAsia" w:ascii="宋体" w:hAnsi="宋体" w:eastAsia="宋体" w:cs="宋体"/>
                <w:sz w:val="21"/>
                <w:szCs w:val="21"/>
              </w:rPr>
              <w:t>分</w:t>
            </w:r>
          </w:p>
        </w:tc>
        <w:tc>
          <w:tcPr>
            <w:tcW w:w="2477" w:type="dxa"/>
            <w:tcBorders>
              <w:top w:val="single" w:color="auto"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投标企业业绩</w:t>
            </w:r>
            <w:r>
              <w:rPr>
                <w:rFonts w:hint="eastAsia" w:hAnsi="宋体" w:cs="宋体"/>
                <w:color w:val="000000"/>
                <w:sz w:val="21"/>
                <w:szCs w:val="21"/>
                <w:lang w:val="en-US" w:eastAsia="zh-CN"/>
              </w:rPr>
              <w:t>3</w:t>
            </w:r>
            <w:r>
              <w:rPr>
                <w:rFonts w:hint="eastAsia" w:ascii="宋体" w:hAnsi="宋体" w:eastAsia="宋体" w:cs="宋体"/>
                <w:color w:val="000000"/>
                <w:sz w:val="21"/>
                <w:szCs w:val="21"/>
              </w:rPr>
              <w:t>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tabs>
                <w:tab w:val="left" w:pos="1889"/>
              </w:tabs>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b/>
                <w:bCs/>
                <w:color w:val="000000"/>
                <w:sz w:val="21"/>
                <w:szCs w:val="21"/>
                <w:lang w:val="en-US" w:eastAsia="zh-CN"/>
              </w:rPr>
            </w:pPr>
            <w:r>
              <w:rPr>
                <w:rFonts w:hint="eastAsia" w:ascii="宋体" w:hAnsi="宋体" w:eastAsia="宋体" w:cs="宋体"/>
                <w:color w:val="000000"/>
                <w:sz w:val="21"/>
                <w:szCs w:val="21"/>
                <w:lang w:val="en-US" w:eastAsia="zh-CN"/>
              </w:rPr>
              <w:t>2023年以来</w:t>
            </w:r>
            <w:r>
              <w:rPr>
                <w:rFonts w:hint="eastAsia" w:hAnsi="宋体" w:cs="宋体"/>
                <w:color w:val="000000"/>
                <w:sz w:val="21"/>
                <w:szCs w:val="21"/>
                <w:lang w:val="en-US" w:eastAsia="zh-CN"/>
              </w:rPr>
              <w:t>相关</w:t>
            </w:r>
            <w:r>
              <w:rPr>
                <w:rFonts w:hint="eastAsia" w:ascii="宋体" w:hAnsi="宋体" w:eastAsia="宋体" w:cs="宋体"/>
                <w:color w:val="000000"/>
                <w:sz w:val="21"/>
                <w:szCs w:val="21"/>
                <w:lang w:val="en-US" w:eastAsia="zh-CN"/>
              </w:rPr>
              <w:t>业绩</w:t>
            </w:r>
            <w:r>
              <w:rPr>
                <w:rFonts w:hint="eastAsia" w:ascii="宋体" w:hAnsi="宋体" w:eastAsia="宋体" w:cs="宋体"/>
                <w:color w:val="000000"/>
                <w:sz w:val="21"/>
                <w:szCs w:val="21"/>
              </w:rPr>
              <w:t>（合同或中标通知书），每个业绩</w:t>
            </w:r>
            <w:r>
              <w:rPr>
                <w:rFonts w:hint="eastAsia" w:hAnsi="宋体" w:cs="宋体"/>
                <w:color w:val="000000"/>
                <w:sz w:val="21"/>
                <w:szCs w:val="21"/>
                <w:lang w:eastAsia="zh-CN"/>
              </w:rPr>
              <w:t>得</w:t>
            </w:r>
            <w:r>
              <w:rPr>
                <w:rFonts w:hint="eastAsia" w:hAnsi="宋体" w:cs="宋体"/>
                <w:color w:val="000000"/>
                <w:sz w:val="21"/>
                <w:szCs w:val="21"/>
                <w:lang w:val="en-US" w:eastAsia="zh-CN"/>
              </w:rPr>
              <w:t>1</w:t>
            </w:r>
            <w:r>
              <w:rPr>
                <w:rFonts w:hint="eastAsia" w:ascii="宋体" w:hAnsi="宋体" w:eastAsia="宋体" w:cs="宋体"/>
                <w:color w:val="000000"/>
                <w:sz w:val="21"/>
                <w:szCs w:val="21"/>
              </w:rPr>
              <w:t>分</w:t>
            </w:r>
            <w:r>
              <w:rPr>
                <w:rFonts w:hint="eastAsia" w:hAnsi="宋体" w:cs="宋体"/>
                <w:color w:val="000000"/>
                <w:sz w:val="21"/>
                <w:szCs w:val="21"/>
                <w:lang w:eastAsia="zh-CN"/>
              </w:rPr>
              <w:t>。</w:t>
            </w:r>
          </w:p>
        </w:tc>
      </w:tr>
      <w:tr>
        <w:tblPrEx>
          <w:tblCellMar>
            <w:top w:w="0" w:type="dxa"/>
            <w:left w:w="0" w:type="dxa"/>
            <w:bottom w:w="0" w:type="dxa"/>
            <w:right w:w="0" w:type="dxa"/>
          </w:tblCellMar>
        </w:tblPrEx>
        <w:trPr>
          <w:wAfter w:w="0" w:type="auto"/>
          <w:trHeight w:val="594" w:hRule="atLeast"/>
          <w:jc w:val="center"/>
        </w:trPr>
        <w:tc>
          <w:tcPr>
            <w:tcW w:w="1442" w:type="dxa"/>
            <w:vMerge w:val="continue"/>
            <w:tcBorders>
              <w:left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hAnsi="宋体" w:cs="宋体"/>
                <w:sz w:val="21"/>
                <w:szCs w:val="21"/>
                <w:lang w:val="en-US" w:eastAsia="zh-CN"/>
              </w:rPr>
              <w:t>组织机构2</w:t>
            </w:r>
            <w:r>
              <w:rPr>
                <w:rFonts w:hint="eastAsia" w:ascii="宋体" w:hAnsi="宋体" w:eastAsia="宋体" w:cs="宋体"/>
                <w:sz w:val="21"/>
                <w:szCs w:val="21"/>
                <w:lang w:val="en-US" w:eastAsia="zh-CN"/>
              </w:rPr>
              <w:t>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spacing w:line="0" w:lineRule="atLeast"/>
              <w:jc w:val="left"/>
              <w:rPr>
                <w:rFonts w:hint="eastAsia" w:ascii="宋体" w:hAnsi="宋体" w:eastAsia="宋体" w:cs="宋体"/>
                <w:color w:val="auto"/>
                <w:position w:val="-6"/>
                <w:sz w:val="21"/>
                <w:szCs w:val="21"/>
                <w:lang w:val="en-US" w:eastAsia="zh-CN" w:bidi="ar-SA"/>
              </w:rPr>
            </w:pPr>
            <w:r>
              <w:rPr>
                <w:rFonts w:hint="eastAsia" w:ascii="宋体" w:hAnsi="宋体" w:eastAsia="宋体" w:cs="宋体"/>
                <w:color w:val="auto"/>
                <w:position w:val="-6"/>
                <w:sz w:val="21"/>
                <w:szCs w:val="21"/>
                <w:lang w:val="en-US" w:eastAsia="zh-CN" w:bidi="ar-SA"/>
              </w:rPr>
              <w:t>组织机构人员配备，专业科学合理，配置如下人员：项目经理</w:t>
            </w:r>
            <w:r>
              <w:rPr>
                <w:rFonts w:hint="eastAsia" w:hAnsi="宋体" w:cs="宋体"/>
                <w:color w:val="auto"/>
                <w:position w:val="-6"/>
                <w:sz w:val="21"/>
                <w:szCs w:val="21"/>
                <w:lang w:val="en-US" w:eastAsia="zh-CN" w:bidi="ar-SA"/>
              </w:rPr>
              <w:t>、</w:t>
            </w:r>
            <w:r>
              <w:rPr>
                <w:rFonts w:hint="eastAsia" w:ascii="宋体" w:hAnsi="宋体" w:eastAsia="宋体" w:cs="宋体"/>
                <w:color w:val="auto"/>
                <w:position w:val="-6"/>
                <w:sz w:val="21"/>
                <w:szCs w:val="21"/>
                <w:lang w:val="en-US" w:eastAsia="zh-CN" w:bidi="ar-SA"/>
              </w:rPr>
              <w:t>技术员、安全员、缺少一人</w:t>
            </w:r>
            <w:r>
              <w:rPr>
                <w:rFonts w:hint="eastAsia" w:hAnsi="宋体" w:cs="宋体"/>
                <w:color w:val="auto"/>
                <w:position w:val="-6"/>
                <w:sz w:val="21"/>
                <w:szCs w:val="21"/>
                <w:lang w:val="en-US" w:eastAsia="zh-CN" w:bidi="ar-SA"/>
              </w:rPr>
              <w:t>不得</w:t>
            </w:r>
            <w:r>
              <w:rPr>
                <w:rFonts w:hint="eastAsia" w:ascii="宋体" w:hAnsi="宋体" w:eastAsia="宋体" w:cs="宋体"/>
                <w:color w:val="auto"/>
                <w:position w:val="-6"/>
                <w:sz w:val="21"/>
                <w:szCs w:val="21"/>
                <w:lang w:val="en-US" w:eastAsia="zh-CN" w:bidi="ar-SA"/>
              </w:rPr>
              <w:t>分</w:t>
            </w:r>
            <w:r>
              <w:rPr>
                <w:rFonts w:hint="eastAsia" w:hAnsi="宋体" w:cs="宋体"/>
                <w:color w:val="auto"/>
                <w:position w:val="-6"/>
                <w:sz w:val="21"/>
                <w:szCs w:val="21"/>
                <w:lang w:val="en-US" w:eastAsia="zh-CN" w:bidi="ar-SA"/>
              </w:rPr>
              <w:t>。</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lang w:val="en-US" w:eastAsia="zh-CN"/>
              </w:rPr>
            </w:pPr>
          </w:p>
        </w:tc>
      </w:tr>
      <w:tr>
        <w:tblPrEx>
          <w:tblCellMar>
            <w:top w:w="0" w:type="dxa"/>
            <w:left w:w="0" w:type="dxa"/>
            <w:bottom w:w="0" w:type="dxa"/>
            <w:right w:w="0" w:type="dxa"/>
          </w:tblCellMar>
        </w:tblPrEx>
        <w:trPr>
          <w:wAfter w:w="0" w:type="auto"/>
          <w:trHeight w:val="1027" w:hRule="atLeast"/>
          <w:jc w:val="center"/>
        </w:trPr>
        <w:tc>
          <w:tcPr>
            <w:tcW w:w="1442" w:type="dxa"/>
            <w:vMerge w:val="restart"/>
            <w:tcBorders>
              <w:top w:val="single" w:color="auto" w:sz="4" w:space="0"/>
              <w:left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技术评分标准</w:t>
            </w:r>
            <w:r>
              <w:rPr>
                <w:rFonts w:hint="eastAsia" w:ascii="宋体" w:hAnsi="宋体" w:eastAsia="宋体" w:cs="宋体"/>
                <w:sz w:val="21"/>
                <w:szCs w:val="21"/>
                <w:lang w:val="en-US" w:eastAsia="zh-CN"/>
              </w:rPr>
              <w:t>55</w:t>
            </w:r>
            <w:r>
              <w:rPr>
                <w:rFonts w:hint="eastAsia" w:ascii="宋体" w:hAnsi="宋体" w:eastAsia="宋体" w:cs="宋体"/>
                <w:sz w:val="21"/>
                <w:szCs w:val="21"/>
              </w:rPr>
              <w:t>分</w:t>
            </w: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整体供货服务</w:t>
            </w:r>
            <w:r>
              <w:rPr>
                <w:rFonts w:hint="eastAsia" w:ascii="宋体" w:hAnsi="宋体" w:eastAsia="宋体" w:cs="宋体"/>
                <w:sz w:val="21"/>
                <w:szCs w:val="21"/>
                <w:lang w:eastAsia="zh-CN"/>
              </w:rPr>
              <w:t>方案的</w:t>
            </w:r>
            <w:r>
              <w:rPr>
                <w:rFonts w:hint="eastAsia" w:ascii="宋体" w:hAnsi="宋体" w:eastAsia="宋体" w:cs="宋体"/>
                <w:bCs/>
                <w:sz w:val="21"/>
                <w:szCs w:val="21"/>
                <w:lang w:val="en-US" w:eastAsia="zh-CN"/>
              </w:rPr>
              <w:t>完整性</w:t>
            </w:r>
            <w:r>
              <w:rPr>
                <w:rFonts w:hint="eastAsia" w:ascii="宋体" w:hAnsi="宋体" w:eastAsia="宋体" w:cs="宋体"/>
                <w:bCs/>
                <w:sz w:val="21"/>
                <w:szCs w:val="21"/>
              </w:rPr>
              <w:t>和合理性</w:t>
            </w:r>
            <w:r>
              <w:rPr>
                <w:rFonts w:hint="eastAsia" w:ascii="宋体" w:hAnsi="宋体" w:eastAsia="宋体" w:cs="宋体"/>
                <w:sz w:val="21"/>
                <w:szCs w:val="21"/>
                <w:lang w:val="en-US" w:eastAsia="zh-CN"/>
              </w:rPr>
              <w:t>5分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根据供应商提供的整体供货⽅案进</w:t>
            </w:r>
            <w:r>
              <w:rPr>
                <w:rFonts w:hint="default" w:ascii="宋体" w:hAnsi="宋体" w:eastAsia="宋体" w:cs="宋体"/>
                <w:sz w:val="21"/>
                <w:szCs w:val="21"/>
                <w:lang w:val="en-US" w:eastAsia="zh-CN"/>
              </w:rPr>
              <w:t>⾏评分， 内容包含但不限于</w:t>
            </w:r>
            <w:r>
              <w:rPr>
                <w:rFonts w:hint="eastAsia" w:ascii="宋体" w:hAnsi="宋体" w:eastAsia="宋体" w:cs="宋体"/>
                <w:sz w:val="21"/>
                <w:szCs w:val="21"/>
                <w:lang w:val="en-US" w:eastAsia="zh-CN"/>
              </w:rPr>
              <w:t>①</w:t>
            </w:r>
            <w:r>
              <w:rPr>
                <w:rFonts w:hint="default" w:ascii="宋体" w:hAnsi="宋体" w:eastAsia="宋体" w:cs="宋体"/>
                <w:sz w:val="21"/>
                <w:szCs w:val="21"/>
                <w:lang w:val="en-US" w:eastAsia="zh-CN"/>
              </w:rPr>
              <w:t xml:space="preserve">供货进度；② </w:t>
            </w:r>
            <w:r>
              <w:rPr>
                <w:rFonts w:hint="eastAsia" w:hAnsi="宋体" w:cs="宋体"/>
                <w:sz w:val="21"/>
                <w:szCs w:val="21"/>
                <w:lang w:val="en-US" w:eastAsia="zh-CN"/>
              </w:rPr>
              <w:t>进度</w:t>
            </w:r>
            <w:r>
              <w:rPr>
                <w:rFonts w:hint="default" w:ascii="宋体" w:hAnsi="宋体" w:eastAsia="宋体" w:cs="宋体"/>
                <w:sz w:val="21"/>
                <w:szCs w:val="21"/>
                <w:lang w:val="en-US" w:eastAsia="zh-CN"/>
              </w:rPr>
              <w:t>保证措施</w:t>
            </w:r>
            <w:r>
              <w:rPr>
                <w:rFonts w:hint="eastAsia" w:hAnsi="宋体" w:cs="宋体"/>
                <w:sz w:val="21"/>
                <w:szCs w:val="21"/>
                <w:lang w:val="en-US" w:eastAsia="zh-CN"/>
              </w:rPr>
              <w:t>；</w:t>
            </w:r>
            <w:r>
              <w:rPr>
                <w:rFonts w:hint="default" w:ascii="宋体" w:hAnsi="宋体" w:eastAsia="宋体" w:cs="宋体"/>
                <w:sz w:val="21"/>
                <w:szCs w:val="21"/>
                <w:lang w:val="en-US" w:eastAsia="zh-CN"/>
              </w:rPr>
              <w:t>③运输⽅案； ④特殊情况下的保管、保障措施 ;</w:t>
            </w:r>
            <w:r>
              <w:rPr>
                <w:rFonts w:hint="eastAsia" w:ascii="宋体" w:hAnsi="宋体" w:eastAsia="宋体" w:cs="宋体"/>
                <w:sz w:val="21"/>
                <w:szCs w:val="21"/>
                <w:lang w:val="en-US" w:eastAsia="zh-CN"/>
              </w:rPr>
              <w:t>⑤</w:t>
            </w:r>
            <w:r>
              <w:rPr>
                <w:rFonts w:hint="default" w:ascii="宋体" w:hAnsi="宋体" w:eastAsia="宋体" w:cs="宋体"/>
                <w:sz w:val="21"/>
                <w:szCs w:val="21"/>
                <w:lang w:val="en-US" w:eastAsia="zh-CN"/>
              </w:rPr>
              <w:t>到货验收⽅案；</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lang w:eastAsia="zh-CN"/>
              </w:rPr>
            </w:pPr>
            <w:r>
              <w:rPr>
                <w:rFonts w:hint="default" w:ascii="宋体" w:hAnsi="宋体" w:eastAsia="宋体" w:cs="宋体"/>
                <w:sz w:val="21"/>
                <w:szCs w:val="21"/>
                <w:lang w:val="en-US" w:eastAsia="zh-CN"/>
              </w:rPr>
              <w:t>内容完整，逻辑清晰，符合本项⽬要求得</w:t>
            </w:r>
            <w:r>
              <w:rPr>
                <w:rFonts w:hint="eastAsia" w:hAnsi="宋体" w:cs="宋体"/>
                <w:sz w:val="21"/>
                <w:szCs w:val="21"/>
                <w:lang w:val="en-US" w:eastAsia="zh-CN"/>
              </w:rPr>
              <w:t>5</w:t>
            </w:r>
            <w:r>
              <w:rPr>
                <w:rFonts w:hint="default" w:ascii="宋体" w:hAnsi="宋体" w:eastAsia="宋体" w:cs="宋体"/>
                <w:sz w:val="21"/>
                <w:szCs w:val="21"/>
                <w:lang w:val="en-US" w:eastAsia="zh-CN"/>
              </w:rPr>
              <w:t>分，以上内容每缺少⼀ 项扣</w:t>
            </w:r>
            <w:r>
              <w:rPr>
                <w:rFonts w:hint="eastAsia" w:hAnsi="宋体" w:cs="宋体"/>
                <w:sz w:val="21"/>
                <w:szCs w:val="21"/>
                <w:lang w:val="en-US" w:eastAsia="zh-CN"/>
              </w:rPr>
              <w:t>1</w:t>
            </w:r>
            <w:r>
              <w:rPr>
                <w:rFonts w:hint="default" w:ascii="宋体" w:hAnsi="宋体" w:eastAsia="宋体" w:cs="宋体"/>
                <w:sz w:val="21"/>
                <w:szCs w:val="21"/>
                <w:lang w:val="en-US" w:eastAsia="zh-CN"/>
              </w:rPr>
              <w:t>分，每项中内容存在缺陷或不⾜扣</w:t>
            </w:r>
            <w:r>
              <w:rPr>
                <w:rFonts w:hint="eastAsia" w:hAnsi="宋体" w:cs="宋体"/>
                <w:sz w:val="21"/>
                <w:szCs w:val="21"/>
                <w:lang w:val="en-US" w:eastAsia="zh-CN"/>
              </w:rPr>
              <w:t>0.5</w:t>
            </w:r>
            <w:r>
              <w:rPr>
                <w:rFonts w:hint="default" w:ascii="宋体" w:hAnsi="宋体" w:eastAsia="宋体" w:cs="宋体"/>
                <w:sz w:val="21"/>
                <w:szCs w:val="21"/>
                <w:lang w:val="en-US" w:eastAsia="zh-CN"/>
              </w:rPr>
              <w:t>分,未提供不得分。（缺陷或不⾜指：不适⽤项⽬实际情况的情形、凭空编造、内容前后不⼀致、前后逻辑错误、涉及的规范及标准失效错误、地点区域错误、内容缺失不⾜ 与本项⽬⽆关、只有简单描述⽆实质性内容)</w:t>
            </w:r>
          </w:p>
        </w:tc>
      </w:tr>
      <w:tr>
        <w:tblPrEx>
          <w:tblCellMar>
            <w:top w:w="0" w:type="dxa"/>
            <w:left w:w="0" w:type="dxa"/>
            <w:bottom w:w="0" w:type="dxa"/>
            <w:right w:w="0" w:type="dxa"/>
          </w:tblCellMar>
        </w:tblPrEx>
        <w:trPr>
          <w:wAfter w:w="0" w:type="auto"/>
          <w:jc w:val="center"/>
        </w:trPr>
        <w:tc>
          <w:tcPr>
            <w:tcW w:w="1442" w:type="dxa"/>
            <w:vMerge w:val="continue"/>
            <w:tcBorders>
              <w:left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tabs>
                <w:tab w:val="left" w:pos="1889"/>
              </w:tabs>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设备功性能描述</w:t>
            </w:r>
          </w:p>
          <w:p>
            <w:pPr>
              <w:pStyle w:val="7"/>
              <w:pageBreakBefore w:val="0"/>
              <w:tabs>
                <w:tab w:val="left" w:pos="1889"/>
              </w:tabs>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15分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根据设备总体性能响应招标文件功能要求进行评分，内容包含但不限于：</w:t>
            </w:r>
            <w:r>
              <w:rPr>
                <w:rFonts w:hint="default" w:ascii="宋体" w:hAnsi="宋体" w:eastAsia="宋体" w:cs="宋体"/>
                <w:sz w:val="21"/>
                <w:szCs w:val="21"/>
                <w:lang w:val="en-US" w:eastAsia="zh-CN"/>
              </w:rPr>
              <w:t>①</w:t>
            </w:r>
            <w:r>
              <w:rPr>
                <w:rFonts w:hint="eastAsia" w:ascii="宋体" w:hAnsi="宋体" w:eastAsia="宋体" w:cs="宋体"/>
                <w:sz w:val="21"/>
                <w:szCs w:val="21"/>
                <w:lang w:val="en-US" w:eastAsia="zh-CN"/>
              </w:rPr>
              <w:t>功能模块结构，</w:t>
            </w:r>
            <w:r>
              <w:rPr>
                <w:rFonts w:hint="default" w:ascii="宋体" w:hAnsi="宋体" w:eastAsia="宋体" w:cs="宋体"/>
                <w:sz w:val="21"/>
                <w:szCs w:val="21"/>
                <w:lang w:val="en-US" w:eastAsia="zh-CN"/>
              </w:rPr>
              <w:t>②</w:t>
            </w:r>
            <w:r>
              <w:rPr>
                <w:rFonts w:hint="eastAsia" w:ascii="宋体" w:hAnsi="宋体" w:eastAsia="宋体" w:cs="宋体"/>
                <w:sz w:val="21"/>
                <w:szCs w:val="21"/>
                <w:lang w:val="en-US" w:eastAsia="zh-CN"/>
              </w:rPr>
              <w:t>功能点描述，</w:t>
            </w:r>
            <w:r>
              <w:rPr>
                <w:rFonts w:hint="default" w:ascii="宋体" w:hAnsi="宋体" w:eastAsia="宋体" w:cs="宋体"/>
                <w:sz w:val="21"/>
                <w:szCs w:val="21"/>
                <w:lang w:val="en-US" w:eastAsia="zh-CN"/>
              </w:rPr>
              <w:t>③</w:t>
            </w:r>
            <w:r>
              <w:rPr>
                <w:rFonts w:hint="eastAsia" w:ascii="宋体" w:hAnsi="宋体" w:eastAsia="宋体" w:cs="宋体"/>
                <w:sz w:val="21"/>
                <w:szCs w:val="21"/>
                <w:lang w:val="en-US" w:eastAsia="zh-CN"/>
              </w:rPr>
              <w:t>整体结构、效率，④拆卸安装维修方便性，⑤使用寿命等方面；</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bCs/>
                <w:sz w:val="21"/>
                <w:szCs w:val="21"/>
                <w:lang w:val="en-US" w:eastAsia="zh-CN"/>
              </w:rPr>
            </w:pPr>
            <w:r>
              <w:rPr>
                <w:rFonts w:hint="eastAsia" w:ascii="宋体" w:hAnsi="宋体" w:eastAsia="宋体" w:cs="宋体"/>
                <w:sz w:val="21"/>
                <w:szCs w:val="21"/>
                <w:lang w:val="en-US" w:eastAsia="zh-CN"/>
              </w:rPr>
              <w:t>内容完整，逻辑清晰</w:t>
            </w:r>
            <w:r>
              <w:rPr>
                <w:rFonts w:hint="default" w:ascii="宋体" w:hAnsi="宋体" w:eastAsia="宋体" w:cs="宋体"/>
                <w:sz w:val="21"/>
                <w:szCs w:val="21"/>
                <w:lang w:val="en-US" w:eastAsia="zh-CN"/>
              </w:rPr>
              <w:t>，符合本项⽬要求得</w:t>
            </w:r>
            <w:r>
              <w:rPr>
                <w:rFonts w:hint="eastAsia" w:ascii="宋体" w:hAnsi="宋体" w:eastAsia="宋体" w:cs="宋体"/>
                <w:sz w:val="21"/>
                <w:szCs w:val="21"/>
                <w:lang w:val="en-US" w:eastAsia="zh-CN"/>
              </w:rPr>
              <w:t>15</w:t>
            </w:r>
            <w:r>
              <w:rPr>
                <w:rFonts w:hint="default" w:ascii="宋体" w:hAnsi="宋体" w:eastAsia="宋体" w:cs="宋体"/>
                <w:sz w:val="21"/>
                <w:szCs w:val="21"/>
                <w:lang w:val="en-US" w:eastAsia="zh-CN"/>
              </w:rPr>
              <w:t>分，以上内容每缺少⼀ 项扣</w:t>
            </w: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分，每项中内容存在缺陷或不⾜扣</w:t>
            </w:r>
            <w:r>
              <w:rPr>
                <w:rFonts w:hint="eastAsia" w:ascii="宋体" w:hAnsi="宋体" w:eastAsia="宋体" w:cs="宋体"/>
                <w:sz w:val="21"/>
                <w:szCs w:val="21"/>
                <w:lang w:val="en-US" w:eastAsia="zh-CN"/>
              </w:rPr>
              <w:t>2</w:t>
            </w:r>
            <w:r>
              <w:rPr>
                <w:rFonts w:hint="default" w:ascii="宋体" w:hAnsi="宋体" w:eastAsia="宋体" w:cs="宋体"/>
                <w:sz w:val="21"/>
                <w:szCs w:val="21"/>
                <w:lang w:val="en-US" w:eastAsia="zh-CN"/>
              </w:rPr>
              <w:t>分 , 未提供不得分。（缺陷或不⾜指：不适⽤项⽬实际情况的情形、凭空编造、内容前后不⼀致、前后逻辑错误、涉及的规范及标准失效错误、地点区域错误、内容缺失不⾜、与本项⽬⽆关、只有简单描述⽆实质性内容)</w:t>
            </w:r>
          </w:p>
        </w:tc>
      </w:tr>
      <w:tr>
        <w:tblPrEx>
          <w:tblCellMar>
            <w:top w:w="0" w:type="dxa"/>
            <w:left w:w="0" w:type="dxa"/>
            <w:bottom w:w="0" w:type="dxa"/>
            <w:right w:w="0" w:type="dxa"/>
          </w:tblCellMar>
        </w:tblPrEx>
        <w:trPr>
          <w:wAfter w:w="0" w:type="auto"/>
          <w:trHeight w:val="90" w:hRule="atLeast"/>
          <w:jc w:val="center"/>
        </w:trPr>
        <w:tc>
          <w:tcPr>
            <w:tcW w:w="1442" w:type="dxa"/>
            <w:vMerge w:val="continue"/>
            <w:tcBorders>
              <w:left w:val="single" w:color="000000" w:sz="4" w:space="0"/>
              <w:right w:val="single" w:color="000000" w:sz="4" w:space="0"/>
            </w:tcBorders>
            <w:noWrap w:val="0"/>
            <w:vAlign w:val="center"/>
          </w:tcPr>
          <w:p>
            <w:pPr>
              <w:pageBreakBefore w:val="0"/>
              <w:topLinePunct w:val="0"/>
              <w:bidi w:val="0"/>
              <w:adjustRightInd w:val="0"/>
              <w:spacing w:line="240" w:lineRule="auto"/>
              <w:ind w:left="0" w:leftChars="0" w:right="27" w:firstLine="0" w:firstLineChars="0"/>
              <w:jc w:val="center"/>
              <w:textAlignment w:val="auto"/>
              <w:rPr>
                <w:rFonts w:hint="eastAsia" w:ascii="宋体" w:hAnsi="宋体" w:eastAsia="宋体" w:cs="宋体"/>
                <w:sz w:val="21"/>
                <w:szCs w:val="21"/>
              </w:rPr>
            </w:pP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tabs>
                <w:tab w:val="left" w:pos="1889"/>
              </w:tabs>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技术</w:t>
            </w:r>
            <w:r>
              <w:rPr>
                <w:rFonts w:hint="eastAsia" w:hAnsi="宋体" w:cs="宋体"/>
                <w:bCs/>
                <w:sz w:val="21"/>
                <w:szCs w:val="21"/>
                <w:lang w:val="en-US" w:eastAsia="zh-CN"/>
              </w:rPr>
              <w:t>性能、技术资料交付</w:t>
            </w:r>
            <w:r>
              <w:rPr>
                <w:rFonts w:hint="eastAsia" w:ascii="宋体" w:hAnsi="宋体" w:eastAsia="宋体" w:cs="宋体"/>
                <w:bCs/>
                <w:sz w:val="21"/>
                <w:szCs w:val="21"/>
                <w:lang w:val="en-US" w:eastAsia="zh-CN"/>
              </w:rPr>
              <w:t>1</w:t>
            </w:r>
            <w:r>
              <w:rPr>
                <w:rFonts w:hint="eastAsia" w:hAnsi="宋体" w:cs="宋体"/>
                <w:bCs/>
                <w:sz w:val="21"/>
                <w:szCs w:val="21"/>
                <w:lang w:val="en-US" w:eastAsia="zh-CN"/>
              </w:rPr>
              <w:t>5</w:t>
            </w:r>
            <w:r>
              <w:rPr>
                <w:rFonts w:hint="eastAsia" w:ascii="宋体" w:hAnsi="宋体" w:eastAsia="宋体" w:cs="宋体"/>
                <w:bCs/>
                <w:sz w:val="21"/>
                <w:szCs w:val="21"/>
                <w:lang w:val="en-US" w:eastAsia="zh-CN"/>
              </w:rPr>
              <w:t>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hAnsi="宋体" w:cs="宋体"/>
                <w:sz w:val="21"/>
                <w:szCs w:val="21"/>
                <w:lang w:val="en-US" w:eastAsia="zh-CN"/>
              </w:rPr>
            </w:pPr>
            <w:r>
              <w:rPr>
                <w:rFonts w:hint="eastAsia" w:ascii="宋体" w:hAnsi="宋体" w:eastAsia="宋体" w:cs="宋体"/>
                <w:sz w:val="21"/>
                <w:szCs w:val="21"/>
                <w:lang w:val="en-US" w:eastAsia="zh-CN"/>
              </w:rPr>
              <w:t>根据技术性能、技术资料的符合性和合理性进行评分，内容包含但不限于：</w:t>
            </w:r>
            <w:r>
              <w:rPr>
                <w:rFonts w:hint="default" w:ascii="宋体" w:hAnsi="宋体" w:eastAsia="宋体" w:cs="宋体"/>
                <w:sz w:val="21"/>
                <w:szCs w:val="21"/>
                <w:lang w:val="en-US" w:eastAsia="zh-CN"/>
              </w:rPr>
              <w:t>①</w:t>
            </w:r>
            <w:r>
              <w:rPr>
                <w:rFonts w:hint="eastAsia" w:ascii="宋体" w:hAnsi="宋体" w:eastAsia="宋体" w:cs="宋体"/>
                <w:sz w:val="21"/>
                <w:szCs w:val="21"/>
                <w:lang w:val="en-US" w:eastAsia="zh-CN"/>
              </w:rPr>
              <w:t>设备技术</w:t>
            </w:r>
            <w:r>
              <w:rPr>
                <w:rFonts w:hint="default" w:ascii="宋体" w:hAnsi="宋体" w:eastAsia="宋体" w:cs="宋体"/>
                <w:sz w:val="21"/>
                <w:szCs w:val="21"/>
                <w:lang w:val="en-US" w:eastAsia="zh-CN"/>
              </w:rPr>
              <w:t>说明、②</w:t>
            </w:r>
            <w:r>
              <w:rPr>
                <w:rFonts w:hint="eastAsia" w:ascii="宋体" w:hAnsi="宋体" w:eastAsia="宋体" w:cs="宋体"/>
                <w:sz w:val="21"/>
                <w:szCs w:val="21"/>
                <w:lang w:val="en-US" w:eastAsia="zh-CN"/>
              </w:rPr>
              <w:t>设备</w:t>
            </w:r>
            <w:r>
              <w:rPr>
                <w:rFonts w:hint="default" w:ascii="宋体" w:hAnsi="宋体" w:eastAsia="宋体" w:cs="宋体"/>
                <w:sz w:val="21"/>
                <w:szCs w:val="21"/>
                <w:lang w:val="en-US" w:eastAsia="zh-CN"/>
              </w:rPr>
              <w:t>生产</w:t>
            </w:r>
            <w:r>
              <w:rPr>
                <w:rFonts w:hint="eastAsia" w:ascii="宋体" w:hAnsi="宋体" w:eastAsia="宋体" w:cs="宋体"/>
                <w:sz w:val="21"/>
                <w:szCs w:val="21"/>
                <w:lang w:val="en-US" w:eastAsia="zh-CN"/>
              </w:rPr>
              <w:t>许可及介绍</w:t>
            </w:r>
            <w:r>
              <w:rPr>
                <w:rFonts w:hint="default" w:ascii="宋体" w:hAnsi="宋体" w:eastAsia="宋体" w:cs="宋体"/>
                <w:sz w:val="21"/>
                <w:szCs w:val="21"/>
                <w:lang w:val="en-US" w:eastAsia="zh-CN"/>
              </w:rPr>
              <w:t>、③</w:t>
            </w:r>
            <w:r>
              <w:rPr>
                <w:rFonts w:hint="eastAsia" w:ascii="宋体" w:hAnsi="宋体" w:eastAsia="宋体" w:cs="宋体"/>
                <w:sz w:val="21"/>
                <w:szCs w:val="21"/>
                <w:lang w:val="en-US" w:eastAsia="zh-CN"/>
              </w:rPr>
              <w:t>产品合格相关资料、④技术资料交付进度、⑤技术资料交付保障措施</w:t>
            </w:r>
            <w:r>
              <w:rPr>
                <w:rFonts w:hint="default" w:ascii="宋体" w:hAnsi="宋体" w:eastAsia="宋体" w:cs="宋体"/>
                <w:sz w:val="21"/>
                <w:szCs w:val="21"/>
                <w:lang w:val="en-US" w:eastAsia="zh-CN"/>
              </w:rPr>
              <w:t>等</w:t>
            </w:r>
            <w:r>
              <w:rPr>
                <w:rFonts w:hint="eastAsia" w:hAnsi="宋体" w:cs="宋体"/>
                <w:sz w:val="21"/>
                <w:szCs w:val="21"/>
                <w:lang w:val="en-US" w:eastAsia="zh-CN"/>
              </w:rPr>
              <w:t>；</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bCs/>
                <w:sz w:val="21"/>
                <w:szCs w:val="21"/>
                <w:lang w:val="en-US" w:eastAsia="zh-CN"/>
              </w:rPr>
            </w:pPr>
            <w:r>
              <w:rPr>
                <w:rFonts w:hint="default" w:ascii="宋体" w:hAnsi="宋体" w:eastAsia="宋体" w:cs="宋体"/>
                <w:sz w:val="21"/>
                <w:szCs w:val="21"/>
                <w:lang w:val="en-US" w:eastAsia="zh-CN"/>
              </w:rPr>
              <w:t>应符合项⽬实际需求 ,内容完整，逻辑清晰，符合本项⽬要求得</w:t>
            </w:r>
            <w:r>
              <w:rPr>
                <w:rFonts w:hint="eastAsia" w:hAnsi="宋体" w:cs="宋体"/>
                <w:sz w:val="21"/>
                <w:szCs w:val="21"/>
                <w:lang w:val="en-US" w:eastAsia="zh-CN"/>
              </w:rPr>
              <w:t>15</w:t>
            </w:r>
            <w:r>
              <w:rPr>
                <w:rFonts w:hint="default" w:ascii="宋体" w:hAnsi="宋体" w:eastAsia="宋体" w:cs="宋体"/>
                <w:sz w:val="21"/>
                <w:szCs w:val="21"/>
                <w:lang w:val="en-US" w:eastAsia="zh-CN"/>
              </w:rPr>
              <w:t>分，以上内容每缺少⼀项扣</w:t>
            </w:r>
            <w:r>
              <w:rPr>
                <w:rFonts w:hint="eastAsia" w:hAnsi="宋体" w:cs="宋体"/>
                <w:sz w:val="21"/>
                <w:szCs w:val="21"/>
                <w:lang w:val="en-US" w:eastAsia="zh-CN"/>
              </w:rPr>
              <w:t>3</w:t>
            </w:r>
            <w:r>
              <w:rPr>
                <w:rFonts w:hint="default" w:ascii="宋体" w:hAnsi="宋体" w:eastAsia="宋体" w:cs="宋体"/>
                <w:sz w:val="21"/>
                <w:szCs w:val="21"/>
                <w:lang w:val="en-US" w:eastAsia="zh-CN"/>
              </w:rPr>
              <w:t>分，每项中内容存在缺陷或不⾜扣</w:t>
            </w:r>
            <w:r>
              <w:rPr>
                <w:rFonts w:hint="eastAsia" w:hAnsi="宋体" w:cs="宋体"/>
                <w:sz w:val="21"/>
                <w:szCs w:val="21"/>
                <w:lang w:val="en-US" w:eastAsia="zh-CN"/>
              </w:rPr>
              <w:t>2</w:t>
            </w:r>
            <w:r>
              <w:rPr>
                <w:rFonts w:hint="default" w:ascii="宋体" w:hAnsi="宋体" w:eastAsia="宋体" w:cs="宋体"/>
                <w:sz w:val="21"/>
                <w:szCs w:val="21"/>
                <w:lang w:val="en-US" w:eastAsia="zh-CN"/>
              </w:rPr>
              <w:t>分，未提供不得分 。 （缺陷或不⾜指：不适⽤项⽬实际情况的情形、凭空编造、内容前后不⼀致、前后逻辑错误、涉及的规范及标准失效错误、地点区域错误、内容缺失不⾜、与本项⽬⽆关、 只有简单描述⽆实质性内容</w:t>
            </w:r>
            <w:r>
              <w:rPr>
                <w:rFonts w:hint="eastAsia" w:hAnsi="宋体" w:cs="宋体"/>
                <w:sz w:val="21"/>
                <w:szCs w:val="21"/>
                <w:lang w:val="en-US" w:eastAsia="zh-CN"/>
              </w:rPr>
              <w:t>）</w:t>
            </w:r>
          </w:p>
        </w:tc>
      </w:tr>
      <w:tr>
        <w:tblPrEx>
          <w:tblCellMar>
            <w:top w:w="0" w:type="dxa"/>
            <w:left w:w="0" w:type="dxa"/>
            <w:bottom w:w="0" w:type="dxa"/>
            <w:right w:w="0" w:type="dxa"/>
          </w:tblCellMar>
        </w:tblPrEx>
        <w:trPr>
          <w:wAfter w:w="0" w:type="auto"/>
          <w:trHeight w:val="90" w:hRule="atLeast"/>
          <w:jc w:val="center"/>
        </w:trPr>
        <w:tc>
          <w:tcPr>
            <w:tcW w:w="1442" w:type="dxa"/>
            <w:vMerge w:val="continue"/>
            <w:tcBorders>
              <w:left w:val="single" w:color="000000" w:sz="4" w:space="0"/>
              <w:right w:val="single" w:color="000000" w:sz="4" w:space="0"/>
            </w:tcBorders>
            <w:noWrap w:val="0"/>
            <w:vAlign w:val="center"/>
          </w:tcPr>
          <w:p>
            <w:pPr>
              <w:pageBreakBefore w:val="0"/>
              <w:topLinePunct w:val="0"/>
              <w:bidi w:val="0"/>
              <w:adjustRightInd w:val="0"/>
              <w:spacing w:line="240" w:lineRule="auto"/>
              <w:ind w:left="0" w:leftChars="0" w:right="27" w:firstLine="0" w:firstLineChars="0"/>
              <w:jc w:val="center"/>
              <w:textAlignment w:val="auto"/>
              <w:rPr>
                <w:rFonts w:hint="eastAsia" w:ascii="宋体" w:hAnsi="宋体" w:eastAsia="宋体" w:cs="宋体"/>
                <w:sz w:val="21"/>
                <w:szCs w:val="21"/>
              </w:rPr>
            </w:pP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对质保期服务能力的评价</w:t>
            </w:r>
          </w:p>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根据供应商提供的质量保证措施及</w:t>
            </w:r>
            <w:r>
              <w:rPr>
                <w:rFonts w:hint="default" w:ascii="宋体" w:hAnsi="宋体" w:eastAsia="宋体" w:cs="宋体"/>
                <w:sz w:val="21"/>
                <w:szCs w:val="21"/>
                <w:lang w:val="en-US" w:eastAsia="zh-CN"/>
              </w:rPr>
              <w:t>承诺（质量保证措施中质量保证体系是否健全，质量⽬标分解、规划是否合理，具体的质量保证 措施是否有效可靠等）进⾏综合评审。 包括但不限于</w:t>
            </w:r>
            <w:r>
              <w:rPr>
                <w:rFonts w:hint="eastAsia" w:ascii="宋体" w:hAnsi="宋体" w:eastAsia="宋体" w:cs="宋体"/>
                <w:sz w:val="21"/>
                <w:szCs w:val="21"/>
                <w:lang w:val="en-US" w:eastAsia="zh-CN"/>
              </w:rPr>
              <w:t>: 1</w:t>
            </w:r>
            <w:r>
              <w:rPr>
                <w:rFonts w:hint="default" w:ascii="宋体" w:hAnsi="宋体" w:eastAsia="宋体" w:cs="宋体"/>
                <w:sz w:val="21"/>
                <w:szCs w:val="21"/>
                <w:lang w:val="en-US" w:eastAsia="zh-CN"/>
              </w:rPr>
              <w:t>、运输途中保护措施:2、质量标准;3、存储保存措施;4、质量保障⽬标及⼈员职责;5、保障机制等;</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color w:val="000000"/>
                <w:spacing w:val="-2"/>
                <w:sz w:val="21"/>
                <w:szCs w:val="21"/>
              </w:rPr>
            </w:pPr>
            <w:r>
              <w:rPr>
                <w:rFonts w:hint="default" w:ascii="宋体" w:hAnsi="宋体" w:eastAsia="宋体" w:cs="宋体"/>
                <w:sz w:val="21"/>
                <w:szCs w:val="21"/>
                <w:lang w:val="en-US" w:eastAsia="zh-CN"/>
              </w:rPr>
              <w:t>应符合项⽬实际需求 ,内容完整，逻辑清晰，符合本项⽬要求得</w:t>
            </w:r>
            <w:r>
              <w:rPr>
                <w:rFonts w:hint="eastAsia" w:hAnsi="宋体" w:cs="宋体"/>
                <w:sz w:val="21"/>
                <w:szCs w:val="21"/>
                <w:lang w:val="en-US" w:eastAsia="zh-CN"/>
              </w:rPr>
              <w:t>10</w:t>
            </w:r>
            <w:r>
              <w:rPr>
                <w:rFonts w:hint="default" w:ascii="宋体" w:hAnsi="宋体" w:eastAsia="宋体" w:cs="宋体"/>
                <w:sz w:val="21"/>
                <w:szCs w:val="21"/>
                <w:lang w:val="en-US" w:eastAsia="zh-CN"/>
              </w:rPr>
              <w:t>分，以上内容每缺少⼀项扣</w:t>
            </w:r>
            <w:r>
              <w:rPr>
                <w:rFonts w:hint="eastAsia" w:hAnsi="宋体" w:cs="宋体"/>
                <w:sz w:val="21"/>
                <w:szCs w:val="21"/>
                <w:lang w:val="en-US" w:eastAsia="zh-CN"/>
              </w:rPr>
              <w:t>2</w:t>
            </w:r>
            <w:r>
              <w:rPr>
                <w:rFonts w:hint="default" w:ascii="宋体" w:hAnsi="宋体" w:eastAsia="宋体" w:cs="宋体"/>
                <w:sz w:val="21"/>
                <w:szCs w:val="21"/>
                <w:lang w:val="en-US" w:eastAsia="zh-CN"/>
              </w:rPr>
              <w:t>分，每项中内容存在缺陷或不⾜扣</w:t>
            </w:r>
            <w:r>
              <w:rPr>
                <w:rFonts w:hint="eastAsia" w:hAnsi="宋体" w:cs="宋体"/>
                <w:sz w:val="21"/>
                <w:szCs w:val="21"/>
                <w:lang w:val="en-US" w:eastAsia="zh-CN"/>
              </w:rPr>
              <w:t>1</w:t>
            </w:r>
            <w:r>
              <w:rPr>
                <w:rFonts w:hint="default" w:ascii="宋体" w:hAnsi="宋体" w:eastAsia="宋体" w:cs="宋体"/>
                <w:sz w:val="21"/>
                <w:szCs w:val="21"/>
                <w:lang w:val="en-US" w:eastAsia="zh-CN"/>
              </w:rPr>
              <w:t>分，未提供不得分 。 （缺陷或不⾜指：不适⽤项⽬实际情况的情形、凭空编造、内容前后不⼀致、前后逻辑错误、涉及的规范及标准失效错误、地点区域错误、内容缺失不⾜、与本项⽬⽆关、 只有简单描述⽆实质性内容）</w:t>
            </w:r>
          </w:p>
        </w:tc>
      </w:tr>
      <w:tr>
        <w:tblPrEx>
          <w:tblCellMar>
            <w:top w:w="0" w:type="dxa"/>
            <w:left w:w="0" w:type="dxa"/>
            <w:bottom w:w="0" w:type="dxa"/>
            <w:right w:w="0" w:type="dxa"/>
          </w:tblCellMar>
        </w:tblPrEx>
        <w:trPr>
          <w:wAfter w:w="0" w:type="auto"/>
          <w:trHeight w:val="3461" w:hRule="atLeast"/>
          <w:jc w:val="center"/>
        </w:trPr>
        <w:tc>
          <w:tcPr>
            <w:tcW w:w="1442" w:type="dxa"/>
            <w:vMerge w:val="continue"/>
            <w:tcBorders>
              <w:left w:val="single" w:color="000000" w:sz="4" w:space="0"/>
              <w:right w:val="single" w:color="000000" w:sz="4" w:space="0"/>
            </w:tcBorders>
            <w:noWrap w:val="0"/>
            <w:vAlign w:val="center"/>
          </w:tcPr>
          <w:p>
            <w:pPr>
              <w:pageBreakBefore w:val="0"/>
              <w:topLinePunct w:val="0"/>
              <w:bidi w:val="0"/>
              <w:adjustRightInd w:val="0"/>
              <w:spacing w:line="240" w:lineRule="auto"/>
              <w:ind w:left="0" w:leftChars="0" w:right="27" w:firstLine="0" w:firstLineChars="0"/>
              <w:jc w:val="center"/>
              <w:textAlignment w:val="auto"/>
              <w:rPr>
                <w:rFonts w:hint="eastAsia" w:ascii="宋体" w:hAnsi="宋体" w:eastAsia="宋体" w:cs="宋体"/>
                <w:sz w:val="21"/>
                <w:szCs w:val="21"/>
              </w:rPr>
            </w:pPr>
          </w:p>
        </w:tc>
        <w:tc>
          <w:tcPr>
            <w:tcW w:w="2477"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售后服务承诺</w:t>
            </w:r>
            <w:r>
              <w:rPr>
                <w:rFonts w:hint="eastAsia" w:hAnsi="宋体" w:cs="宋体"/>
                <w:sz w:val="21"/>
                <w:szCs w:val="21"/>
                <w:lang w:val="en-US" w:eastAsia="zh-CN"/>
              </w:rPr>
              <w:t>10</w:t>
            </w:r>
            <w:r>
              <w:rPr>
                <w:rFonts w:hint="eastAsia" w:ascii="宋体" w:hAnsi="宋体" w:eastAsia="宋体" w:cs="宋体"/>
                <w:sz w:val="21"/>
                <w:szCs w:val="21"/>
              </w:rPr>
              <w:t>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根据供应商提供的售后服务⽅案进⾏评分， 内容包含但不限于①售后服务团队配备、售后服务承诺；②产品安装调试⽅案、上⻔服务及技术⽀持③故障检测、排除及解决的响应时间；④免费维护期和质保期期满之后的 售后服务计划与优惠措施；⑤质保期后出现质量问题的解决⽅案；</w:t>
            </w:r>
          </w:p>
          <w:p>
            <w:pPr>
              <w:pStyle w:val="7"/>
              <w:pageBreakBefore w:val="0"/>
              <w:kinsoku w:val="0"/>
              <w:overflowPunct w:val="0"/>
              <w:topLinePunct w:val="0"/>
              <w:bidi w:val="0"/>
              <w:adjustRightInd w:val="0"/>
              <w:snapToGrid w:val="0"/>
              <w:spacing w:line="240" w:lineRule="auto"/>
              <w:ind w:left="0" w:leftChars="0" w:firstLine="0" w:firstLineChars="0"/>
              <w:jc w:val="left"/>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内容完整，逻辑清晰,符合本项⽬要求得10分，以上内容每缺少⼀项扣2分，每项中内容存在缺陷或不⾜扣1分，未提供不得分。（缺陷或不⾜指：不适⽤项⽬实际情况的情形、凭空编造、内容前后不⼀致、前后逻辑错误、涉及的规范及标准失效错误、地点区域错误、内容缺失不⾜、与本项⽬⽆关、只有简单描述⽆实质性 内容）</w:t>
            </w:r>
          </w:p>
        </w:tc>
      </w:tr>
      <w:tr>
        <w:tblPrEx>
          <w:tblCellMar>
            <w:top w:w="0" w:type="dxa"/>
            <w:left w:w="0" w:type="dxa"/>
            <w:bottom w:w="0" w:type="dxa"/>
            <w:right w:w="0" w:type="dxa"/>
          </w:tblCellMar>
        </w:tblPrEx>
        <w:trPr>
          <w:trHeight w:val="2511" w:hRule="atLeast"/>
          <w:jc w:val="center"/>
        </w:trPr>
        <w:tc>
          <w:tcPr>
            <w:tcW w:w="1442" w:type="dxa"/>
            <w:tcBorders>
              <w:top w:val="single" w:color="auto" w:sz="4" w:space="0"/>
              <w:left w:val="single" w:color="000000" w:sz="4" w:space="0"/>
              <w:bottom w:val="single" w:color="auto"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投标报价评分标准</w:t>
            </w:r>
            <w:r>
              <w:rPr>
                <w:rFonts w:hint="eastAsia" w:hAnsi="宋体" w:cs="宋体"/>
                <w:sz w:val="21"/>
                <w:szCs w:val="21"/>
                <w:lang w:val="en-US" w:eastAsia="zh-CN"/>
              </w:rPr>
              <w:t>40</w:t>
            </w:r>
            <w:r>
              <w:rPr>
                <w:rFonts w:hint="eastAsia" w:ascii="宋体" w:hAnsi="宋体" w:eastAsia="宋体" w:cs="宋体"/>
                <w:sz w:val="21"/>
                <w:szCs w:val="21"/>
                <w:lang w:val="en-US" w:eastAsia="zh-CN"/>
              </w:rPr>
              <w:t>分</w:t>
            </w:r>
          </w:p>
        </w:tc>
        <w:tc>
          <w:tcPr>
            <w:tcW w:w="2477" w:type="dxa"/>
            <w:tcBorders>
              <w:top w:val="single" w:color="auto" w:sz="4" w:space="0"/>
              <w:left w:val="single" w:color="000000" w:sz="4" w:space="0"/>
              <w:bottom w:val="single" w:color="auto" w:sz="4" w:space="0"/>
              <w:right w:val="single" w:color="000000" w:sz="4" w:space="0"/>
            </w:tcBorders>
            <w:noWrap w:val="0"/>
            <w:vAlign w:val="center"/>
          </w:tcPr>
          <w:p>
            <w:pPr>
              <w:pStyle w:val="7"/>
              <w:pageBreakBefore w:val="0"/>
              <w:kinsoku w:val="0"/>
              <w:overflowPunct w:val="0"/>
              <w:topLinePunct w:val="0"/>
              <w:bidi w:val="0"/>
              <w:adjustRightInd w:val="0"/>
              <w:snapToGrid w:val="0"/>
              <w:spacing w:line="240" w:lineRule="auto"/>
              <w:ind w:left="0" w:leftChars="0" w:firstLine="0" w:firstLineChars="0"/>
              <w:jc w:val="center"/>
              <w:textAlignment w:val="auto"/>
              <w:rPr>
                <w:rFonts w:hint="default" w:ascii="宋体" w:hAnsi="宋体" w:eastAsia="宋体" w:cs="宋体"/>
                <w:sz w:val="21"/>
                <w:szCs w:val="21"/>
                <w:lang w:val="en-US" w:eastAsia="zh-CN"/>
              </w:rPr>
            </w:pPr>
            <w:r>
              <w:rPr>
                <w:rFonts w:hint="eastAsia" w:hAnsi="宋体" w:cs="宋体"/>
                <w:sz w:val="21"/>
                <w:szCs w:val="21"/>
                <w:lang w:eastAsia="zh-CN"/>
              </w:rPr>
              <w:t>投标标价</w:t>
            </w:r>
            <w:r>
              <w:rPr>
                <w:rFonts w:hint="eastAsia" w:hAnsi="宋体" w:cs="宋体"/>
                <w:sz w:val="21"/>
                <w:szCs w:val="21"/>
                <w:lang w:val="en-US" w:eastAsia="zh-CN"/>
              </w:rPr>
              <w:t>40分</w:t>
            </w:r>
          </w:p>
        </w:tc>
        <w:tc>
          <w:tcPr>
            <w:tcW w:w="5733" w:type="dxa"/>
            <w:tcBorders>
              <w:top w:val="single" w:color="000000" w:sz="4" w:space="0"/>
              <w:left w:val="single" w:color="000000" w:sz="4" w:space="0"/>
              <w:bottom w:val="single" w:color="000000" w:sz="4" w:space="0"/>
              <w:right w:val="single" w:color="000000" w:sz="4" w:space="0"/>
            </w:tcBorders>
            <w:noWrap w:val="0"/>
            <w:vAlign w:val="center"/>
          </w:tcPr>
          <w:p>
            <w:pPr>
              <w:pStyle w:val="7"/>
              <w:pageBreakBefore w:val="0"/>
              <w:tabs>
                <w:tab w:val="left" w:pos="1889"/>
              </w:tabs>
              <w:kinsoku w:val="0"/>
              <w:overflowPunct w:val="0"/>
              <w:topLinePunct w:val="0"/>
              <w:bidi w:val="0"/>
              <w:adjustRightInd w:val="0"/>
              <w:snapToGrid w:val="0"/>
              <w:spacing w:line="240" w:lineRule="auto"/>
              <w:ind w:left="0" w:leftChars="0" w:firstLine="0" w:firstLineChars="0"/>
              <w:textAlignment w:val="auto"/>
              <w:rPr>
                <w:rFonts w:hint="eastAsia" w:ascii="宋体" w:hAnsi="宋体" w:eastAsia="宋体" w:cs="宋体"/>
                <w:spacing w:val="-2"/>
                <w:sz w:val="21"/>
                <w:szCs w:val="21"/>
                <w:lang w:val="en-US" w:eastAsia="zh-CN"/>
              </w:rPr>
            </w:pPr>
            <w:r>
              <w:rPr>
                <w:rFonts w:hint="eastAsia" w:ascii="宋体" w:hAnsi="宋体" w:eastAsia="宋体" w:cs="宋体"/>
                <w:sz w:val="21"/>
                <w:szCs w:val="21"/>
                <w:lang w:val="en-US" w:eastAsia="zh-CN"/>
              </w:rPr>
              <w:t>比选基准价为基数，报价与比选基准价一致得60分；2）投标人的报价每高于或低于比选基准价1%扣0.5分（不足1%按比例计算），最多扣10分。比选基准价为有效比选报价的算术平均值（被否决投标的比选单位的投标报价、高于招标控制价的投标报价和比选委员会认为不合理的比选报价不参与比选基准价的计算）；计算公式A(评标基准价)=(A1+A2+…An)/n(n为有效个数，An为某有效投标报价)</w:t>
            </w:r>
          </w:p>
        </w:tc>
      </w:tr>
    </w:tbl>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DB9B57"/>
    <w:rsid w:val="36F780E3"/>
    <w:rsid w:val="4FBC2D3D"/>
    <w:rsid w:val="63EB51B9"/>
    <w:rsid w:val="91FF456A"/>
    <w:rsid w:val="A7F5A077"/>
    <w:rsid w:val="FFED98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360" w:lineRule="atLeast"/>
      <w:ind w:left="425" w:hanging="425"/>
    </w:pPr>
    <w:rPr>
      <w:rFonts w:ascii="宋体" w:hAnsi="Times New Roman" w:eastAsia="宋体" w:cs="Times New Roman"/>
      <w:position w:val="-6"/>
      <w:sz w:val="32"/>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customStyle="1" w:styleId="6">
    <w:name w:val="标题 11"/>
    <w:basedOn w:val="1"/>
    <w:qFormat/>
    <w:uiPriority w:val="0"/>
    <w:pPr>
      <w:ind w:left="3"/>
      <w:outlineLvl w:val="0"/>
    </w:pPr>
    <w:rPr>
      <w:b/>
      <w:kern w:val="44"/>
      <w:sz w:val="44"/>
      <w:szCs w:val="20"/>
    </w:rPr>
  </w:style>
  <w:style w:type="paragraph" w:customStyle="1" w:styleId="7">
    <w:name w:val="Table Paragraph"/>
    <w:basedOn w:val="1"/>
    <w:qFormat/>
    <w:uiPriority w:val="0"/>
  </w:style>
  <w:style w:type="paragraph" w:customStyle="1" w:styleId="8">
    <w:name w:val="正文文本1"/>
    <w:basedOn w:val="1"/>
    <w:qFormat/>
    <w:uiPriority w:val="0"/>
    <w:pPr>
      <w:ind w:left="1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2026-09-19T11:01:55Z</dcterms:created>
  <dc:creator>user</dc:creator>
  <cp:lastModifiedBy>灬丅站緈幅</cp:lastModifiedBy>
  <dcterms:modified xsi:type="dcterms:W3CDTF">2026-09-30T09:04:26Z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BE270CEF3FB842A7BF9A12B1D1B82FB6_13</vt:lpwstr>
  </property>
</Properties>
</file>