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B0C2855">
      <w:pPr>
        <w:spacing w:line="0" w:lineRule="atLeast"/>
        <w:jc w:val="both"/>
        <w:outlineLvl w:val="9"/>
        <w:rPr>
          <w:rFonts w:hint="eastAsia" w:ascii="黑体" w:hAnsi="宋体" w:eastAsia="黑体" w:cs="宋体-18030"/>
          <w:b w:val="0"/>
          <w:bCs w:val="0"/>
          <w:kern w:val="2"/>
          <w:sz w:val="32"/>
          <w:szCs w:val="32"/>
          <w:lang w:val="en-US" w:eastAsia="zh-CN" w:bidi="ar-SA"/>
        </w:rPr>
      </w:pPr>
      <w:bookmarkStart w:id="0" w:name="_Toc23084"/>
      <w:bookmarkStart w:id="1" w:name="_Toc16820"/>
      <w:bookmarkStart w:id="2" w:name="_Toc519977196"/>
      <w:r>
        <w:rPr>
          <w:rFonts w:hint="eastAsia" w:ascii="黑体" w:hAnsi="宋体" w:eastAsia="黑体" w:cs="宋体-18030"/>
          <w:b w:val="0"/>
          <w:bCs w:val="0"/>
          <w:kern w:val="2"/>
          <w:sz w:val="32"/>
          <w:szCs w:val="32"/>
          <w:lang w:val="en-US" w:eastAsia="zh-CN" w:bidi="ar-SA"/>
        </w:rPr>
        <w:t>附件1</w:t>
      </w:r>
    </w:p>
    <w:p w14:paraId="5E7A5C26">
      <w:pPr>
        <w:spacing w:line="0" w:lineRule="atLeast"/>
        <w:jc w:val="center"/>
        <w:outlineLvl w:val="9"/>
        <w:rPr>
          <w:rFonts w:hint="eastAsia" w:ascii="方正小标宋简体" w:hAnsi="方正小标宋简体" w:eastAsia="方正小标宋简体" w:cs="方正小标宋简体"/>
          <w:color w:val="000000"/>
          <w:kern w:val="0"/>
          <w:sz w:val="40"/>
          <w:szCs w:val="48"/>
        </w:rPr>
      </w:pPr>
      <w:r>
        <w:rPr>
          <w:rFonts w:hint="eastAsia" w:ascii="方正小标宋简体" w:hAnsi="方正小标宋简体" w:eastAsia="方正小标宋简体" w:cs="方正小标宋简体"/>
          <w:color w:val="000000"/>
          <w:kern w:val="0"/>
          <w:sz w:val="40"/>
          <w:szCs w:val="48"/>
        </w:rPr>
        <w:t>比选评分标准</w:t>
      </w:r>
    </w:p>
    <w:tbl>
      <w:tblPr>
        <w:tblStyle w:val="5"/>
        <w:tblpPr w:leftFromText="180" w:rightFromText="180" w:vertAnchor="text" w:horzAnchor="page" w:tblpX="937" w:tblpY="153"/>
        <w:tblOverlap w:val="never"/>
        <w:tblW w:w="10525"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90"/>
        <w:gridCol w:w="8925"/>
        <w:gridCol w:w="810"/>
      </w:tblGrid>
      <w:tr w14:paraId="6C9E12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6" w:hRule="atLeast"/>
        </w:trPr>
        <w:tc>
          <w:tcPr>
            <w:tcW w:w="790" w:type="dxa"/>
            <w:noWrap w:val="0"/>
            <w:vAlign w:val="center"/>
          </w:tcPr>
          <w:p w14:paraId="5AA926E6">
            <w:pPr>
              <w:spacing w:line="0" w:lineRule="atLeast"/>
              <w:jc w:val="center"/>
              <w:rPr>
                <w:rFonts w:ascii="仿宋_GB2312" w:hAnsi="仿宋_GB2312" w:eastAsia="仿宋_GB2312" w:cs="仿宋_GB2312"/>
                <w:sz w:val="32"/>
              </w:rPr>
            </w:pPr>
            <w:r>
              <w:rPr>
                <w:rFonts w:hint="eastAsia" w:ascii="仿宋_GB2312" w:hAnsi="仿宋_GB2312" w:eastAsia="仿宋_GB2312" w:cs="仿宋_GB2312"/>
                <w:sz w:val="28"/>
                <w:szCs w:val="28"/>
              </w:rPr>
              <w:t>评分项</w:t>
            </w:r>
          </w:p>
        </w:tc>
        <w:tc>
          <w:tcPr>
            <w:tcW w:w="8925" w:type="dxa"/>
            <w:noWrap w:val="0"/>
            <w:vAlign w:val="center"/>
          </w:tcPr>
          <w:p w14:paraId="47E195DF">
            <w:pPr>
              <w:spacing w:line="0" w:lineRule="atLeast"/>
              <w:jc w:val="center"/>
              <w:rPr>
                <w:rFonts w:ascii="仿宋_GB2312" w:hAnsi="仿宋_GB2312" w:eastAsia="仿宋_GB2312" w:cs="仿宋_GB2312"/>
                <w:sz w:val="28"/>
                <w:szCs w:val="28"/>
              </w:rPr>
            </w:pPr>
            <w:r>
              <w:rPr>
                <w:rFonts w:hint="eastAsia" w:ascii="仿宋_GB2312" w:hAnsi="仿宋_GB2312" w:eastAsia="仿宋_GB2312" w:cs="仿宋_GB2312"/>
                <w:sz w:val="28"/>
                <w:szCs w:val="28"/>
              </w:rPr>
              <w:t>评分标准</w:t>
            </w:r>
          </w:p>
        </w:tc>
        <w:tc>
          <w:tcPr>
            <w:tcW w:w="810" w:type="dxa"/>
            <w:noWrap w:val="0"/>
            <w:vAlign w:val="center"/>
          </w:tcPr>
          <w:p w14:paraId="6C50342D">
            <w:pPr>
              <w:spacing w:line="0" w:lineRule="atLeast"/>
              <w:jc w:val="center"/>
              <w:rPr>
                <w:rFonts w:ascii="仿宋_GB2312" w:hAnsi="仿宋_GB2312" w:eastAsia="仿宋_GB2312" w:cs="仿宋_GB2312"/>
                <w:sz w:val="28"/>
                <w:szCs w:val="28"/>
              </w:rPr>
            </w:pPr>
            <w:r>
              <w:rPr>
                <w:rFonts w:hint="eastAsia" w:ascii="仿宋_GB2312" w:hAnsi="仿宋_GB2312" w:eastAsia="仿宋_GB2312" w:cs="仿宋_GB2312"/>
                <w:sz w:val="28"/>
                <w:szCs w:val="28"/>
              </w:rPr>
              <w:t>分值</w:t>
            </w:r>
          </w:p>
        </w:tc>
      </w:tr>
      <w:tr w14:paraId="75E3F9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82" w:hRule="atLeast"/>
        </w:trPr>
        <w:tc>
          <w:tcPr>
            <w:tcW w:w="790" w:type="dxa"/>
            <w:noWrap w:val="0"/>
            <w:vAlign w:val="center"/>
          </w:tcPr>
          <w:p w14:paraId="0339F4A1">
            <w:pPr>
              <w:spacing w:line="0" w:lineRule="atLeast"/>
              <w:jc w:val="left"/>
              <w:rPr>
                <w:rFonts w:ascii="仿宋_GB2312" w:hAnsi="仿宋_GB2312" w:eastAsia="仿宋_GB2312" w:cs="仿宋_GB2312"/>
                <w:sz w:val="32"/>
              </w:rPr>
            </w:pPr>
            <w:r>
              <w:rPr>
                <w:rFonts w:hint="eastAsia" w:ascii="仿宋_GB2312" w:hAnsi="仿宋_GB2312" w:eastAsia="仿宋_GB2312" w:cs="仿宋_GB2312"/>
                <w:b/>
                <w:bCs/>
                <w:sz w:val="28"/>
                <w:szCs w:val="28"/>
              </w:rPr>
              <w:t>相关业绩</w:t>
            </w:r>
          </w:p>
        </w:tc>
        <w:tc>
          <w:tcPr>
            <w:tcW w:w="8925" w:type="dxa"/>
            <w:noWrap w:val="0"/>
            <w:vAlign w:val="center"/>
          </w:tcPr>
          <w:p w14:paraId="3356B8B5">
            <w:pPr>
              <w:spacing w:line="0" w:lineRule="atLeast"/>
              <w:jc w:val="left"/>
              <w:rPr>
                <w:rFonts w:ascii="仿宋_GB2312" w:hAnsi="仿宋_GB2312" w:eastAsia="仿宋_GB2312" w:cs="仿宋_GB2312"/>
                <w:sz w:val="28"/>
                <w:szCs w:val="28"/>
              </w:rPr>
            </w:pPr>
            <w:r>
              <w:rPr>
                <w:rFonts w:hint="eastAsia" w:ascii="仿宋_GB2312" w:hAnsi="仿宋_GB2312" w:eastAsia="仿宋_GB2312" w:cs="仿宋_GB2312"/>
                <w:sz w:val="28"/>
                <w:szCs w:val="28"/>
                <w:lang w:val="en-US" w:eastAsia="zh-CN"/>
              </w:rPr>
              <w:t>2023年以来施工业绩</w:t>
            </w:r>
            <w:r>
              <w:rPr>
                <w:rFonts w:hint="eastAsia" w:ascii="仿宋_GB2312" w:hAnsi="仿宋_GB2312" w:eastAsia="仿宋_GB2312" w:cs="仿宋_GB2312"/>
                <w:sz w:val="28"/>
                <w:szCs w:val="28"/>
              </w:rPr>
              <w:t>（合同或中标通知书），每个业绩4分，最多得10分</w:t>
            </w:r>
          </w:p>
        </w:tc>
        <w:tc>
          <w:tcPr>
            <w:tcW w:w="810" w:type="dxa"/>
            <w:noWrap w:val="0"/>
            <w:vAlign w:val="center"/>
          </w:tcPr>
          <w:p w14:paraId="220BBFF2">
            <w:pPr>
              <w:spacing w:line="0" w:lineRule="atLeast"/>
              <w:jc w:val="center"/>
              <w:rPr>
                <w:rFonts w:ascii="仿宋_GB2312" w:hAnsi="仿宋_GB2312" w:eastAsia="仿宋_GB2312" w:cs="仿宋_GB2312"/>
                <w:sz w:val="28"/>
                <w:szCs w:val="28"/>
              </w:rPr>
            </w:pPr>
            <w:r>
              <w:rPr>
                <w:rFonts w:hint="eastAsia" w:ascii="仿宋_GB2312" w:hAnsi="仿宋_GB2312" w:eastAsia="仿宋_GB2312" w:cs="仿宋_GB2312"/>
                <w:sz w:val="28"/>
                <w:szCs w:val="28"/>
              </w:rPr>
              <w:t>10</w:t>
            </w:r>
          </w:p>
        </w:tc>
      </w:tr>
      <w:tr w14:paraId="740F6B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651" w:hRule="atLeast"/>
        </w:trPr>
        <w:tc>
          <w:tcPr>
            <w:tcW w:w="790" w:type="dxa"/>
            <w:noWrap w:val="0"/>
            <w:vAlign w:val="center"/>
          </w:tcPr>
          <w:p w14:paraId="421A68C4">
            <w:pPr>
              <w:spacing w:line="0" w:lineRule="atLeast"/>
              <w:jc w:val="left"/>
              <w:rPr>
                <w:rFonts w:ascii="仿宋_GB2312" w:hAnsi="仿宋_GB2312" w:eastAsia="仿宋_GB2312" w:cs="仿宋_GB2312"/>
                <w:b/>
                <w:bCs/>
                <w:sz w:val="28"/>
                <w:szCs w:val="28"/>
              </w:rPr>
            </w:pPr>
            <w:r>
              <w:rPr>
                <w:rFonts w:hint="eastAsia" w:ascii="仿宋_GB2312" w:hAnsi="仿宋_GB2312" w:eastAsia="仿宋_GB2312" w:cs="仿宋_GB2312"/>
                <w:b/>
                <w:bCs/>
                <w:sz w:val="28"/>
                <w:szCs w:val="28"/>
              </w:rPr>
              <w:t>方案得分</w:t>
            </w:r>
          </w:p>
          <w:p w14:paraId="408D26DC">
            <w:pPr>
              <w:spacing w:line="0" w:lineRule="atLeast"/>
              <w:jc w:val="center"/>
              <w:rPr>
                <w:rFonts w:ascii="仿宋_GB2312" w:hAnsi="仿宋_GB2312" w:eastAsia="仿宋_GB2312" w:cs="仿宋_GB2312"/>
                <w:sz w:val="32"/>
              </w:rPr>
            </w:pPr>
          </w:p>
        </w:tc>
        <w:tc>
          <w:tcPr>
            <w:tcW w:w="8925" w:type="dxa"/>
            <w:noWrap w:val="0"/>
            <w:vAlign w:val="center"/>
          </w:tcPr>
          <w:p w14:paraId="3B45986A">
            <w:pPr>
              <w:numPr>
                <w:ilvl w:val="0"/>
                <w:numId w:val="1"/>
              </w:numPr>
              <w:spacing w:line="0" w:lineRule="atLeast"/>
              <w:ind w:left="218" w:leftChars="0" w:hanging="218" w:hangingChars="78"/>
              <w:jc w:val="both"/>
              <w:rPr>
                <w:rFonts w:hint="eastAsia" w:ascii="仿宋_GB2312" w:hAnsi="仿宋_GB2312" w:eastAsia="仿宋_GB2312" w:cs="仿宋_GB2312"/>
                <w:sz w:val="28"/>
                <w:szCs w:val="28"/>
                <w:lang w:eastAsia="zh-CN"/>
              </w:rPr>
            </w:pPr>
            <w:r>
              <w:rPr>
                <w:rFonts w:hint="eastAsia" w:ascii="仿宋_GB2312" w:hAnsi="仿宋_GB2312" w:eastAsia="仿宋_GB2312" w:cs="仿宋_GB2312"/>
                <w:sz w:val="28"/>
                <w:szCs w:val="28"/>
              </w:rPr>
              <w:t>组织机构人员配备，专业</w:t>
            </w:r>
            <w:r>
              <w:rPr>
                <w:rFonts w:hint="eastAsia" w:ascii="仿宋_GB2312" w:hAnsi="仿宋_GB2312" w:eastAsia="仿宋_GB2312" w:cs="仿宋_GB2312"/>
                <w:sz w:val="28"/>
                <w:szCs w:val="28"/>
                <w:lang w:eastAsia="zh-CN"/>
              </w:rPr>
              <w:t>科学</w:t>
            </w:r>
            <w:r>
              <w:rPr>
                <w:rFonts w:hint="eastAsia" w:ascii="仿宋_GB2312" w:hAnsi="仿宋_GB2312" w:eastAsia="仿宋_GB2312" w:cs="仿宋_GB2312"/>
                <w:sz w:val="28"/>
                <w:szCs w:val="28"/>
              </w:rPr>
              <w:t>合理，</w:t>
            </w:r>
            <w:r>
              <w:rPr>
                <w:rFonts w:hint="eastAsia" w:ascii="仿宋_GB2312" w:hAnsi="仿宋_GB2312" w:eastAsia="仿宋_GB2312" w:cs="仿宋_GB2312"/>
                <w:sz w:val="28"/>
                <w:szCs w:val="28"/>
                <w:lang w:val="en-US" w:eastAsia="zh-CN"/>
              </w:rPr>
              <w:t>配置如下人员：项目经理，五大员</w:t>
            </w:r>
            <w:bookmarkStart w:id="3" w:name="_GoBack"/>
            <w:bookmarkEnd w:id="3"/>
            <w:r>
              <w:rPr>
                <w:rFonts w:hint="eastAsia" w:ascii="仿宋_GB2312" w:hAnsi="仿宋_GB2312" w:eastAsia="仿宋_GB2312" w:cs="仿宋_GB2312"/>
                <w:sz w:val="28"/>
                <w:szCs w:val="28"/>
                <w:lang w:val="en-US" w:eastAsia="zh-CN"/>
              </w:rPr>
              <w:t>施工员、技术员、安全员、内业员、材料员得5分，每缺少一人扣一分，但缺少项目经理、施工员、技术员、安全员不得分；项目部五大员</w:t>
            </w:r>
            <w:r>
              <w:rPr>
                <w:rFonts w:hint="eastAsia" w:ascii="仿宋_GB2312" w:hAnsi="仿宋_GB2312" w:eastAsia="仿宋_GB2312" w:cs="仿宋_GB2312"/>
                <w:sz w:val="28"/>
                <w:szCs w:val="28"/>
              </w:rPr>
              <w:t>具有相关专业执业资格证书</w:t>
            </w:r>
            <w:r>
              <w:rPr>
                <w:rFonts w:hint="eastAsia" w:ascii="仿宋_GB2312" w:hAnsi="仿宋_GB2312" w:eastAsia="仿宋_GB2312" w:cs="仿宋_GB2312"/>
                <w:sz w:val="28"/>
                <w:szCs w:val="28"/>
                <w:lang w:val="en-US" w:eastAsia="zh-CN"/>
              </w:rPr>
              <w:t>的或相关职称证书的高级职称加2分、中级职称加1分，最多得8</w:t>
            </w:r>
            <w:r>
              <w:rPr>
                <w:rFonts w:hint="eastAsia" w:ascii="仿宋_GB2312" w:hAnsi="仿宋_GB2312" w:eastAsia="仿宋_GB2312" w:cs="仿宋_GB2312"/>
                <w:sz w:val="28"/>
                <w:szCs w:val="28"/>
              </w:rPr>
              <w:t>分</w:t>
            </w:r>
            <w:r>
              <w:rPr>
                <w:rFonts w:hint="eastAsia" w:ascii="仿宋_GB2312" w:hAnsi="仿宋_GB2312" w:eastAsia="仿宋_GB2312" w:cs="仿宋_GB2312"/>
                <w:sz w:val="28"/>
                <w:szCs w:val="28"/>
                <w:lang w:eastAsia="zh-CN"/>
              </w:rPr>
              <w:t>，</w:t>
            </w:r>
            <w:r>
              <w:rPr>
                <w:rFonts w:hint="eastAsia" w:ascii="仿宋_GB2312" w:hAnsi="仿宋_GB2312" w:eastAsia="仿宋_GB2312" w:cs="仿宋_GB2312"/>
                <w:sz w:val="28"/>
                <w:szCs w:val="28"/>
                <w:lang w:val="en-US" w:eastAsia="zh-CN"/>
              </w:rPr>
              <w:t>不具备从业资格的人员不得分</w:t>
            </w:r>
            <w:r>
              <w:rPr>
                <w:rFonts w:hint="eastAsia" w:ascii="仿宋_GB2312" w:hAnsi="仿宋_GB2312" w:eastAsia="仿宋_GB2312" w:cs="仿宋_GB2312"/>
                <w:sz w:val="28"/>
                <w:szCs w:val="28"/>
                <w:lang w:eastAsia="zh-CN"/>
              </w:rPr>
              <w:t>。</w:t>
            </w:r>
          </w:p>
          <w:p w14:paraId="5310071B">
            <w:pPr>
              <w:spacing w:line="0" w:lineRule="atLeast"/>
              <w:ind w:left="218" w:leftChars="0" w:hanging="218" w:hangingChars="78"/>
              <w:jc w:val="left"/>
              <w:rPr>
                <w:rFonts w:hint="eastAsia" w:ascii="仿宋_GB2312" w:hAnsi="仿宋_GB2312" w:eastAsia="仿宋_GB2312" w:cs="仿宋_GB2312"/>
                <w:sz w:val="28"/>
                <w:szCs w:val="28"/>
                <w:lang w:eastAsia="zh-CN"/>
              </w:rPr>
            </w:pPr>
            <w:r>
              <w:rPr>
                <w:rFonts w:hint="eastAsia" w:ascii="仿宋_GB2312" w:hAnsi="仿宋_GB2312" w:eastAsia="仿宋_GB2312" w:cs="仿宋_GB2312"/>
                <w:sz w:val="28"/>
                <w:szCs w:val="28"/>
                <w:lang w:val="en-US" w:eastAsia="zh-CN"/>
              </w:rPr>
              <w:t>2.</w:t>
            </w:r>
            <w:r>
              <w:rPr>
                <w:rFonts w:hint="eastAsia" w:ascii="仿宋_GB2312" w:hAnsi="仿宋_GB2312" w:eastAsia="仿宋_GB2312" w:cs="仿宋_GB2312"/>
                <w:sz w:val="28"/>
                <w:szCs w:val="28"/>
                <w:lang w:eastAsia="zh-CN"/>
              </w:rPr>
              <w:t>本次</w:t>
            </w:r>
            <w:r>
              <w:rPr>
                <w:rFonts w:hint="eastAsia" w:ascii="仿宋_GB2312" w:hAnsi="仿宋_GB2312" w:eastAsia="仿宋_GB2312" w:cs="仿宋_GB2312"/>
                <w:sz w:val="28"/>
                <w:szCs w:val="28"/>
                <w:lang w:val="en-US" w:eastAsia="zh-CN"/>
              </w:rPr>
              <w:t>施工</w:t>
            </w:r>
            <w:r>
              <w:rPr>
                <w:rFonts w:hint="eastAsia" w:ascii="仿宋_GB2312" w:hAnsi="仿宋_GB2312" w:eastAsia="仿宋_GB2312" w:cs="仿宋_GB2312"/>
                <w:sz w:val="28"/>
                <w:szCs w:val="28"/>
                <w:lang w:eastAsia="zh-CN"/>
              </w:rPr>
              <w:t>方案（满分12分）主要涵盖文本制作的内容完整性、编制合理性、方案可行性</w:t>
            </w:r>
            <w:r>
              <w:rPr>
                <w:rFonts w:hint="eastAsia" w:ascii="仿宋_GB2312" w:hAnsi="仿宋_GB2312" w:eastAsia="仿宋_GB2312" w:cs="仿宋_GB2312"/>
                <w:sz w:val="28"/>
                <w:szCs w:val="28"/>
                <w:lang w:val="en-US" w:eastAsia="zh-CN"/>
              </w:rPr>
              <w:t>、包括项目部组织机构建立情况及人员配备详细情况、施工方案及技术措施、技术服务人员构成、工程进度计划、文明施工措施等等。施工</w:t>
            </w:r>
            <w:r>
              <w:rPr>
                <w:rFonts w:hint="eastAsia" w:ascii="仿宋_GB2312" w:hAnsi="仿宋_GB2312" w:eastAsia="仿宋_GB2312" w:cs="仿宋_GB2312"/>
                <w:sz w:val="28"/>
                <w:szCs w:val="28"/>
                <w:lang w:eastAsia="zh-CN"/>
              </w:rPr>
              <w:t>方案内容不超过</w:t>
            </w:r>
            <w:r>
              <w:rPr>
                <w:rFonts w:hint="eastAsia" w:ascii="仿宋_GB2312" w:hAnsi="仿宋_GB2312" w:eastAsia="仿宋_GB2312" w:cs="仿宋_GB2312"/>
                <w:sz w:val="28"/>
                <w:szCs w:val="28"/>
                <w:lang w:val="en-US" w:eastAsia="zh-CN"/>
              </w:rPr>
              <w:t>50页，整套参选文件不超过100页（不含已标价工程量清单）。</w:t>
            </w:r>
            <w:r>
              <w:rPr>
                <w:rFonts w:hint="eastAsia" w:ascii="仿宋_GB2312" w:hAnsi="仿宋_GB2312" w:eastAsia="仿宋_GB2312" w:cs="仿宋_GB2312"/>
                <w:sz w:val="28"/>
                <w:szCs w:val="28"/>
                <w:lang w:eastAsia="zh-CN"/>
              </w:rPr>
              <w:t>评分将根据方案的全面性与完成质量划分为四档：</w:t>
            </w:r>
          </w:p>
          <w:p w14:paraId="0F315356">
            <w:pPr>
              <w:spacing w:line="0" w:lineRule="atLeast"/>
              <w:ind w:left="559" w:leftChars="266" w:firstLine="0" w:firstLineChars="0"/>
              <w:jc w:val="left"/>
              <w:rPr>
                <w:rFonts w:hint="eastAsia" w:ascii="仿宋_GB2312" w:hAnsi="仿宋_GB2312" w:eastAsia="仿宋_GB2312" w:cs="仿宋_GB2312"/>
                <w:sz w:val="28"/>
                <w:szCs w:val="28"/>
                <w:lang w:eastAsia="zh-CN"/>
              </w:rPr>
            </w:pPr>
            <w:r>
              <w:rPr>
                <w:rFonts w:hint="eastAsia" w:ascii="仿宋_GB2312" w:hAnsi="仿宋_GB2312" w:eastAsia="仿宋_GB2312" w:cs="仿宋_GB2312"/>
                <w:sz w:val="28"/>
                <w:szCs w:val="28"/>
                <w:lang w:eastAsia="zh-CN"/>
              </w:rPr>
              <w:t>优秀 (9-12分)：方案周全，环节完整，执行性强。</w:t>
            </w:r>
          </w:p>
          <w:p w14:paraId="734DFEAA">
            <w:pPr>
              <w:spacing w:line="0" w:lineRule="atLeast"/>
              <w:ind w:left="559" w:leftChars="266" w:firstLine="0" w:firstLineChars="0"/>
              <w:jc w:val="left"/>
              <w:rPr>
                <w:rFonts w:hint="eastAsia" w:ascii="仿宋_GB2312" w:hAnsi="仿宋_GB2312" w:eastAsia="仿宋_GB2312" w:cs="仿宋_GB2312"/>
                <w:sz w:val="28"/>
                <w:szCs w:val="28"/>
                <w:lang w:eastAsia="zh-CN"/>
              </w:rPr>
            </w:pPr>
            <w:r>
              <w:rPr>
                <w:rFonts w:hint="eastAsia" w:ascii="仿宋_GB2312" w:hAnsi="仿宋_GB2312" w:eastAsia="仿宋_GB2312" w:cs="仿宋_GB2312"/>
                <w:sz w:val="28"/>
                <w:szCs w:val="28"/>
                <w:lang w:eastAsia="zh-CN"/>
              </w:rPr>
              <w:t>良好 (6-9分)：方案较全面，环节无疏漏。</w:t>
            </w:r>
          </w:p>
          <w:p w14:paraId="37AD3E3C">
            <w:pPr>
              <w:spacing w:line="0" w:lineRule="atLeast"/>
              <w:ind w:left="559" w:leftChars="266" w:firstLine="0" w:firstLineChars="0"/>
              <w:jc w:val="left"/>
              <w:rPr>
                <w:rFonts w:hint="eastAsia" w:ascii="仿宋_GB2312" w:hAnsi="仿宋_GB2312" w:eastAsia="仿宋_GB2312" w:cs="仿宋_GB2312"/>
                <w:sz w:val="28"/>
                <w:szCs w:val="28"/>
                <w:lang w:eastAsia="zh-CN"/>
              </w:rPr>
            </w:pPr>
            <w:r>
              <w:rPr>
                <w:rFonts w:hint="eastAsia" w:ascii="仿宋_GB2312" w:hAnsi="仿宋_GB2312" w:eastAsia="仿宋_GB2312" w:cs="仿宋_GB2312"/>
                <w:sz w:val="28"/>
                <w:szCs w:val="28"/>
                <w:lang w:eastAsia="zh-CN"/>
              </w:rPr>
              <w:t>一般 (3-6分)：方案基本完整，但存在不足。</w:t>
            </w:r>
          </w:p>
          <w:p w14:paraId="2A37CBE6">
            <w:pPr>
              <w:spacing w:line="0" w:lineRule="atLeast"/>
              <w:ind w:left="559" w:leftChars="266" w:firstLine="0" w:firstLineChars="0"/>
              <w:jc w:val="left"/>
              <w:rPr>
                <w:rFonts w:hint="default" w:ascii="仿宋_GB2312" w:hAnsi="仿宋_GB2312" w:eastAsia="仿宋_GB2312" w:cs="仿宋_GB2312"/>
                <w:sz w:val="28"/>
                <w:szCs w:val="28"/>
                <w:lang w:val="en-US" w:eastAsia="zh-CN"/>
              </w:rPr>
            </w:pPr>
            <w:r>
              <w:rPr>
                <w:rFonts w:hint="eastAsia" w:ascii="仿宋_GB2312" w:hAnsi="仿宋_GB2312" w:eastAsia="仿宋_GB2312" w:cs="仿宋_GB2312"/>
                <w:sz w:val="28"/>
                <w:szCs w:val="28"/>
                <w:lang w:eastAsia="zh-CN"/>
              </w:rPr>
              <w:t>较差 (0-3分)：方案有重大缺失或缺陷。</w:t>
            </w:r>
          </w:p>
          <w:p w14:paraId="5326AFBA">
            <w:pPr>
              <w:numPr>
                <w:ilvl w:val="0"/>
                <w:numId w:val="1"/>
              </w:numPr>
              <w:spacing w:line="0" w:lineRule="atLeast"/>
              <w:ind w:left="219" w:leftChars="0" w:hanging="219" w:hangingChars="78"/>
              <w:rPr>
                <w:rFonts w:hint="default" w:ascii="仿宋_GB2312" w:hAnsi="仿宋_GB2312" w:eastAsia="仿宋_GB2312" w:cs="仿宋_GB2312"/>
                <w:b/>
                <w:bCs/>
                <w:sz w:val="28"/>
                <w:szCs w:val="28"/>
                <w:lang w:val="en-US" w:eastAsia="zh-CN"/>
              </w:rPr>
            </w:pPr>
            <w:r>
              <w:rPr>
                <w:rFonts w:hint="eastAsia" w:ascii="仿宋_GB2312" w:hAnsi="仿宋_GB2312" w:eastAsia="仿宋_GB2312" w:cs="仿宋_GB2312"/>
                <w:b/>
                <w:bCs/>
                <w:sz w:val="28"/>
                <w:szCs w:val="28"/>
                <w:lang w:val="en-US" w:eastAsia="zh-CN"/>
              </w:rPr>
              <w:t>项目经理:</w:t>
            </w:r>
            <w:r>
              <w:rPr>
                <w:rFonts w:hint="eastAsia" w:ascii="仿宋_GB2312" w:hAnsi="仿宋_GB2312" w:eastAsia="仿宋_GB2312" w:cs="仿宋_GB2312"/>
                <w:sz w:val="28"/>
                <w:szCs w:val="28"/>
                <w:lang w:val="en-US" w:eastAsia="zh-CN"/>
              </w:rPr>
              <w:t>从业5年以下得1分；从业5—10年得3分：10年以上得5分（依据项目经理证取得时间判断）</w:t>
            </w:r>
          </w:p>
          <w:p w14:paraId="17D727E3">
            <w:pPr>
              <w:spacing w:line="0" w:lineRule="atLeast"/>
              <w:ind w:left="218" w:leftChars="0" w:hanging="218" w:hangingChars="78"/>
              <w:jc w:val="left"/>
              <w:rPr>
                <w:rFonts w:hint="eastAsia" w:ascii="仿宋_GB2312" w:hAnsi="仿宋_GB2312" w:eastAsia="仿宋_GB2312" w:cs="仿宋_GB2312"/>
                <w:sz w:val="28"/>
                <w:szCs w:val="28"/>
                <w:highlight w:val="yellow"/>
              </w:rPr>
            </w:pPr>
            <w:r>
              <w:rPr>
                <w:rFonts w:hint="eastAsia" w:ascii="仿宋_GB2312" w:hAnsi="仿宋_GB2312" w:eastAsia="仿宋_GB2312" w:cs="仿宋_GB2312"/>
                <w:sz w:val="28"/>
                <w:szCs w:val="28"/>
              </w:rPr>
              <w:t>4</w:t>
            </w:r>
            <w:r>
              <w:rPr>
                <w:rFonts w:hint="eastAsia" w:ascii="仿宋_GB2312" w:hAnsi="仿宋_GB2312" w:eastAsia="仿宋_GB2312" w:cs="仿宋_GB2312"/>
                <w:sz w:val="28"/>
                <w:szCs w:val="28"/>
                <w:lang w:val="en-US" w:eastAsia="zh-CN"/>
              </w:rPr>
              <w:t>.</w:t>
            </w:r>
            <w:r>
              <w:rPr>
                <w:rFonts w:hint="eastAsia" w:ascii="仿宋_GB2312" w:hAnsi="仿宋_GB2312" w:eastAsia="仿宋_GB2312" w:cs="仿宋_GB2312"/>
                <w:sz w:val="28"/>
                <w:szCs w:val="28"/>
                <w:highlight w:val="none"/>
              </w:rPr>
              <w:t>服务承诺方案</w:t>
            </w:r>
            <w:r>
              <w:rPr>
                <w:rFonts w:hint="eastAsia" w:ascii="仿宋_GB2312" w:hAnsi="仿宋_GB2312" w:eastAsia="仿宋_GB2312" w:cs="仿宋_GB2312"/>
                <w:b/>
                <w:bCs/>
                <w:sz w:val="28"/>
                <w:szCs w:val="28"/>
                <w:highlight w:val="none"/>
              </w:rPr>
              <w:t>优秀得</w:t>
            </w:r>
            <w:r>
              <w:rPr>
                <w:rFonts w:hint="eastAsia" w:ascii="仿宋_GB2312" w:hAnsi="仿宋_GB2312" w:eastAsia="仿宋_GB2312" w:cs="仿宋_GB2312"/>
                <w:b/>
                <w:bCs/>
                <w:sz w:val="28"/>
                <w:szCs w:val="28"/>
                <w:highlight w:val="none"/>
                <w:lang w:val="en-US" w:eastAsia="zh-CN"/>
              </w:rPr>
              <w:t>5</w:t>
            </w:r>
            <w:r>
              <w:rPr>
                <w:rFonts w:hint="eastAsia" w:ascii="仿宋_GB2312" w:hAnsi="仿宋_GB2312" w:eastAsia="仿宋_GB2312" w:cs="仿宋_GB2312"/>
                <w:b/>
                <w:bCs/>
                <w:sz w:val="28"/>
                <w:szCs w:val="28"/>
                <w:highlight w:val="none"/>
              </w:rPr>
              <w:t>分</w:t>
            </w:r>
            <w:r>
              <w:rPr>
                <w:rFonts w:hint="eastAsia" w:ascii="仿宋_GB2312" w:hAnsi="仿宋_GB2312" w:eastAsia="仿宋_GB2312" w:cs="仿宋_GB2312"/>
                <w:b/>
                <w:bCs/>
                <w:sz w:val="28"/>
                <w:szCs w:val="28"/>
                <w:highlight w:val="none"/>
                <w:lang w:eastAsia="zh-CN"/>
              </w:rPr>
              <w:t>：</w:t>
            </w:r>
            <w:r>
              <w:rPr>
                <w:rFonts w:hint="eastAsia" w:ascii="仿宋_GB2312" w:hAnsi="仿宋_GB2312" w:eastAsia="仿宋_GB2312" w:cs="仿宋_GB2312"/>
                <w:sz w:val="28"/>
                <w:szCs w:val="28"/>
                <w:highlight w:val="none"/>
                <w:lang w:val="en-US" w:eastAsia="zh-CN"/>
              </w:rPr>
              <w:t>承诺清晰，响应迅速，保障措施完备。</w:t>
            </w:r>
            <w:r>
              <w:rPr>
                <w:rFonts w:hint="eastAsia" w:ascii="仿宋_GB2312" w:hAnsi="仿宋_GB2312" w:eastAsia="仿宋_GB2312" w:cs="仿宋_GB2312"/>
                <w:b/>
                <w:bCs/>
                <w:sz w:val="28"/>
                <w:szCs w:val="28"/>
                <w:highlight w:val="none"/>
              </w:rPr>
              <w:t>良好得</w:t>
            </w:r>
            <w:r>
              <w:rPr>
                <w:rFonts w:hint="eastAsia" w:ascii="仿宋_GB2312" w:hAnsi="仿宋_GB2312" w:eastAsia="仿宋_GB2312" w:cs="仿宋_GB2312"/>
                <w:b/>
                <w:bCs/>
                <w:sz w:val="28"/>
                <w:szCs w:val="28"/>
                <w:highlight w:val="none"/>
                <w:lang w:val="en-US" w:eastAsia="zh-CN"/>
              </w:rPr>
              <w:t>3</w:t>
            </w:r>
            <w:r>
              <w:rPr>
                <w:rFonts w:hint="eastAsia" w:ascii="仿宋_GB2312" w:hAnsi="仿宋_GB2312" w:eastAsia="仿宋_GB2312" w:cs="仿宋_GB2312"/>
                <w:b/>
                <w:bCs/>
                <w:sz w:val="28"/>
                <w:szCs w:val="28"/>
                <w:highlight w:val="none"/>
              </w:rPr>
              <w:t>分</w:t>
            </w:r>
            <w:r>
              <w:rPr>
                <w:rFonts w:hint="eastAsia" w:ascii="仿宋_GB2312" w:hAnsi="仿宋_GB2312" w:eastAsia="仿宋_GB2312" w:cs="仿宋_GB2312"/>
                <w:b/>
                <w:bCs/>
                <w:sz w:val="28"/>
                <w:szCs w:val="28"/>
                <w:highlight w:val="none"/>
                <w:lang w:eastAsia="zh-CN"/>
              </w:rPr>
              <w:t>：</w:t>
            </w:r>
            <w:r>
              <w:rPr>
                <w:rFonts w:hint="eastAsia" w:ascii="仿宋_GB2312" w:hAnsi="仿宋_GB2312" w:eastAsia="仿宋_GB2312" w:cs="仿宋_GB2312"/>
                <w:sz w:val="28"/>
                <w:szCs w:val="28"/>
                <w:highlight w:val="none"/>
                <w:lang w:val="en-US" w:eastAsia="zh-CN"/>
              </w:rPr>
              <w:t>承诺较清晰，响应较迅速，保障措施较完备。</w:t>
            </w:r>
            <w:r>
              <w:rPr>
                <w:rFonts w:hint="eastAsia" w:ascii="仿宋_GB2312" w:hAnsi="仿宋_GB2312" w:eastAsia="仿宋_GB2312" w:cs="仿宋_GB2312"/>
                <w:b/>
                <w:bCs/>
                <w:sz w:val="28"/>
                <w:szCs w:val="28"/>
                <w:highlight w:val="none"/>
              </w:rPr>
              <w:t>一般得</w:t>
            </w:r>
            <w:r>
              <w:rPr>
                <w:rFonts w:hint="eastAsia" w:ascii="仿宋_GB2312" w:hAnsi="仿宋_GB2312" w:eastAsia="仿宋_GB2312" w:cs="仿宋_GB2312"/>
                <w:b/>
                <w:bCs/>
                <w:sz w:val="28"/>
                <w:szCs w:val="28"/>
                <w:highlight w:val="none"/>
                <w:lang w:val="en-US" w:eastAsia="zh-CN"/>
              </w:rPr>
              <w:t>2</w:t>
            </w:r>
            <w:r>
              <w:rPr>
                <w:rFonts w:hint="eastAsia" w:ascii="仿宋_GB2312" w:hAnsi="仿宋_GB2312" w:eastAsia="仿宋_GB2312" w:cs="仿宋_GB2312"/>
                <w:b/>
                <w:bCs/>
                <w:sz w:val="28"/>
                <w:szCs w:val="28"/>
                <w:highlight w:val="none"/>
              </w:rPr>
              <w:t>分</w:t>
            </w:r>
            <w:r>
              <w:rPr>
                <w:rFonts w:hint="eastAsia" w:ascii="仿宋_GB2312" w:hAnsi="仿宋_GB2312" w:eastAsia="仿宋_GB2312" w:cs="仿宋_GB2312"/>
                <w:b/>
                <w:bCs/>
                <w:sz w:val="28"/>
                <w:szCs w:val="28"/>
                <w:highlight w:val="none"/>
                <w:lang w:eastAsia="zh-CN"/>
              </w:rPr>
              <w:t>：</w:t>
            </w:r>
            <w:r>
              <w:rPr>
                <w:rFonts w:hint="eastAsia" w:ascii="仿宋_GB2312" w:hAnsi="仿宋_GB2312" w:eastAsia="仿宋_GB2312" w:cs="仿宋_GB2312"/>
                <w:b w:val="0"/>
                <w:bCs w:val="0"/>
                <w:sz w:val="28"/>
                <w:szCs w:val="28"/>
                <w:highlight w:val="none"/>
                <w:lang w:val="en-US" w:eastAsia="zh-CN"/>
              </w:rPr>
              <w:t>只有个别承</w:t>
            </w:r>
            <w:r>
              <w:rPr>
                <w:rFonts w:hint="eastAsia" w:ascii="仿宋_GB2312" w:hAnsi="仿宋_GB2312" w:eastAsia="仿宋_GB2312" w:cs="仿宋_GB2312"/>
                <w:sz w:val="28"/>
                <w:szCs w:val="28"/>
                <w:highlight w:val="none"/>
                <w:lang w:val="en-US" w:eastAsia="zh-CN"/>
              </w:rPr>
              <w:t>诺清晰，响应一般迅速，保障措施一般完备。</w:t>
            </w:r>
            <w:r>
              <w:rPr>
                <w:rFonts w:hint="eastAsia" w:ascii="仿宋_GB2312" w:hAnsi="仿宋_GB2312" w:eastAsia="仿宋_GB2312" w:cs="仿宋_GB2312"/>
                <w:b/>
                <w:bCs/>
                <w:sz w:val="28"/>
                <w:szCs w:val="28"/>
                <w:highlight w:val="none"/>
              </w:rPr>
              <w:t>较差0分</w:t>
            </w:r>
            <w:r>
              <w:rPr>
                <w:rFonts w:hint="eastAsia" w:ascii="仿宋_GB2312" w:hAnsi="仿宋_GB2312" w:eastAsia="仿宋_GB2312" w:cs="仿宋_GB2312"/>
                <w:b/>
                <w:bCs/>
                <w:sz w:val="28"/>
                <w:szCs w:val="28"/>
                <w:highlight w:val="none"/>
                <w:lang w:eastAsia="zh-CN"/>
              </w:rPr>
              <w:t>：</w:t>
            </w:r>
            <w:r>
              <w:rPr>
                <w:rFonts w:hint="eastAsia" w:ascii="仿宋_GB2312" w:hAnsi="仿宋_GB2312" w:eastAsia="仿宋_GB2312" w:cs="仿宋_GB2312"/>
                <w:sz w:val="28"/>
                <w:szCs w:val="28"/>
                <w:highlight w:val="none"/>
                <w:lang w:val="en-US" w:eastAsia="zh-CN"/>
              </w:rPr>
              <w:t>承诺模糊，无响应时间，保障措施不完备</w:t>
            </w:r>
          </w:p>
        </w:tc>
        <w:tc>
          <w:tcPr>
            <w:tcW w:w="810" w:type="dxa"/>
            <w:noWrap w:val="0"/>
            <w:vAlign w:val="center"/>
          </w:tcPr>
          <w:p w14:paraId="6B61C95C">
            <w:pPr>
              <w:spacing w:line="0" w:lineRule="atLeast"/>
              <w:jc w:val="center"/>
              <w:rPr>
                <w:rFonts w:ascii="仿宋_GB2312" w:hAnsi="仿宋_GB2312" w:eastAsia="仿宋_GB2312" w:cs="仿宋_GB2312"/>
                <w:sz w:val="28"/>
                <w:szCs w:val="28"/>
              </w:rPr>
            </w:pPr>
            <w:r>
              <w:rPr>
                <w:rFonts w:hint="eastAsia" w:ascii="仿宋_GB2312" w:hAnsi="仿宋_GB2312" w:eastAsia="仿宋_GB2312" w:cs="仿宋_GB2312"/>
                <w:sz w:val="28"/>
                <w:szCs w:val="28"/>
              </w:rPr>
              <w:t>30</w:t>
            </w:r>
          </w:p>
        </w:tc>
      </w:tr>
      <w:tr w14:paraId="035FA3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76" w:hRule="atLeast"/>
        </w:trPr>
        <w:tc>
          <w:tcPr>
            <w:tcW w:w="790" w:type="dxa"/>
            <w:noWrap w:val="0"/>
            <w:vAlign w:val="center"/>
          </w:tcPr>
          <w:p w14:paraId="60EF8565">
            <w:pPr>
              <w:spacing w:line="0" w:lineRule="atLeast"/>
              <w:jc w:val="left"/>
              <w:rPr>
                <w:rFonts w:hint="eastAsia" w:ascii="仿宋_GB2312" w:hAnsi="仿宋_GB2312" w:eastAsia="仿宋_GB2312" w:cs="仿宋_GB2312"/>
                <w:b/>
                <w:bCs/>
                <w:sz w:val="28"/>
                <w:szCs w:val="28"/>
              </w:rPr>
            </w:pPr>
            <w:r>
              <w:rPr>
                <w:rFonts w:hint="eastAsia" w:ascii="仿宋_GB2312" w:hAnsi="仿宋_GB2312" w:eastAsia="仿宋_GB2312" w:cs="仿宋_GB2312"/>
                <w:b/>
                <w:bCs/>
                <w:sz w:val="28"/>
                <w:szCs w:val="28"/>
              </w:rPr>
              <w:t>报价得分</w:t>
            </w:r>
          </w:p>
          <w:p w14:paraId="5DB6A1F1">
            <w:pPr>
              <w:spacing w:line="0" w:lineRule="atLeast"/>
              <w:jc w:val="center"/>
              <w:rPr>
                <w:rFonts w:ascii="仿宋_GB2312" w:hAnsi="仿宋_GB2312" w:eastAsia="仿宋_GB2312" w:cs="仿宋_GB2312"/>
                <w:sz w:val="32"/>
              </w:rPr>
            </w:pPr>
          </w:p>
        </w:tc>
        <w:tc>
          <w:tcPr>
            <w:tcW w:w="8925" w:type="dxa"/>
            <w:noWrap w:val="0"/>
            <w:vAlign w:val="center"/>
          </w:tcPr>
          <w:p w14:paraId="13AC9C05">
            <w:pPr>
              <w:spacing w:line="0" w:lineRule="atLeast"/>
              <w:jc w:val="left"/>
              <w:rPr>
                <w:rFonts w:ascii="仿宋_GB2312" w:hAnsi="仿宋_GB2312" w:eastAsia="仿宋_GB2312" w:cs="仿宋_GB2312"/>
                <w:sz w:val="28"/>
                <w:szCs w:val="28"/>
              </w:rPr>
            </w:pPr>
            <w:r>
              <w:rPr>
                <w:rFonts w:hint="eastAsia" w:ascii="仿宋_GB2312" w:hAnsi="仿宋_GB2312" w:eastAsia="仿宋_GB2312" w:cs="仿宋_GB2312"/>
                <w:sz w:val="28"/>
                <w:szCs w:val="28"/>
              </w:rPr>
              <w:t>1）</w:t>
            </w:r>
            <w:r>
              <w:rPr>
                <w:rFonts w:hint="eastAsia" w:ascii="仿宋_GB2312" w:hAnsi="仿宋_GB2312" w:eastAsia="仿宋_GB2312" w:cs="仿宋_GB2312"/>
                <w:sz w:val="28"/>
                <w:szCs w:val="28"/>
                <w:lang w:val="en-US" w:eastAsia="zh-CN"/>
              </w:rPr>
              <w:t>以</w:t>
            </w:r>
            <w:r>
              <w:rPr>
                <w:rFonts w:hint="eastAsia" w:ascii="仿宋_GB2312" w:hAnsi="仿宋_GB2312" w:eastAsia="仿宋_GB2312" w:cs="仿宋_GB2312"/>
                <w:sz w:val="28"/>
                <w:szCs w:val="28"/>
              </w:rPr>
              <w:t>比选基准价为基数，报价与比选基准价一致得60分；</w:t>
            </w:r>
          </w:p>
          <w:p w14:paraId="04D07613">
            <w:pPr>
              <w:spacing w:line="0" w:lineRule="atLeast"/>
              <w:jc w:val="left"/>
              <w:rPr>
                <w:rFonts w:ascii="仿宋_GB2312" w:hAnsi="仿宋_GB2312" w:eastAsia="仿宋_GB2312" w:cs="仿宋_GB2312"/>
                <w:sz w:val="28"/>
                <w:szCs w:val="28"/>
              </w:rPr>
            </w:pPr>
            <w:r>
              <w:rPr>
                <w:rFonts w:hint="eastAsia" w:ascii="仿宋_GB2312" w:hAnsi="仿宋_GB2312" w:eastAsia="仿宋_GB2312" w:cs="仿宋_GB2312"/>
                <w:sz w:val="28"/>
                <w:szCs w:val="28"/>
              </w:rPr>
              <w:t>2）投标人的报价每高于或低于比选基准价1%扣0.5分（不足1%按比例计算），最多扣10分。</w:t>
            </w:r>
          </w:p>
          <w:p w14:paraId="59B340A1">
            <w:pPr>
              <w:spacing w:line="0" w:lineRule="atLeast"/>
              <w:jc w:val="left"/>
              <w:rPr>
                <w:rFonts w:ascii="仿宋_GB2312" w:hAnsi="仿宋_GB2312" w:eastAsia="仿宋_GB2312" w:cs="仿宋_GB2312"/>
                <w:sz w:val="28"/>
                <w:szCs w:val="28"/>
              </w:rPr>
            </w:pPr>
            <w:r>
              <w:rPr>
                <w:rFonts w:hint="eastAsia" w:ascii="仿宋_GB2312" w:hAnsi="仿宋_GB2312" w:eastAsia="仿宋_GB2312" w:cs="仿宋_GB2312"/>
                <w:sz w:val="28"/>
                <w:szCs w:val="28"/>
              </w:rPr>
              <w:t>比选基准价为有效比选报价的算术平均值（被否决投标的比选单位的投标报价、高于招标控制价的投标报价和比选委员会认为不合理的比选报价不参与比选基准价的计算）；</w:t>
            </w:r>
          </w:p>
          <w:p w14:paraId="1A13CB18">
            <w:pPr>
              <w:spacing w:line="0" w:lineRule="atLeast"/>
              <w:jc w:val="left"/>
              <w:rPr>
                <w:rFonts w:ascii="仿宋_GB2312" w:hAnsi="仿宋_GB2312" w:eastAsia="仿宋_GB2312" w:cs="仿宋_GB2312"/>
                <w:sz w:val="28"/>
                <w:szCs w:val="28"/>
              </w:rPr>
            </w:pPr>
            <w:r>
              <w:rPr>
                <w:rFonts w:hint="eastAsia" w:ascii="仿宋_GB2312" w:hAnsi="仿宋_GB2312" w:eastAsia="仿宋_GB2312" w:cs="仿宋_GB2312"/>
                <w:sz w:val="28"/>
                <w:szCs w:val="28"/>
              </w:rPr>
              <w:t>计算公式A(评标基准价)=(A1+A2+…An)/n(n为有效个数，An为某有效投标报价)</w:t>
            </w:r>
          </w:p>
        </w:tc>
        <w:tc>
          <w:tcPr>
            <w:tcW w:w="810" w:type="dxa"/>
            <w:noWrap w:val="0"/>
            <w:vAlign w:val="center"/>
          </w:tcPr>
          <w:p w14:paraId="156C30B0">
            <w:pPr>
              <w:spacing w:line="0" w:lineRule="atLeast"/>
              <w:jc w:val="center"/>
              <w:rPr>
                <w:rFonts w:hint="default" w:ascii="仿宋_GB2312" w:hAnsi="仿宋_GB2312" w:eastAsia="仿宋_GB2312" w:cs="仿宋_GB2312"/>
                <w:sz w:val="28"/>
                <w:szCs w:val="28"/>
                <w:lang w:val="en-US" w:eastAsia="zh-CN"/>
              </w:rPr>
            </w:pPr>
            <w:r>
              <w:rPr>
                <w:rFonts w:hint="eastAsia" w:ascii="仿宋_GB2312" w:hAnsi="仿宋_GB2312" w:eastAsia="仿宋_GB2312" w:cs="仿宋_GB2312"/>
                <w:sz w:val="28"/>
                <w:szCs w:val="28"/>
                <w:lang w:val="en-US" w:eastAsia="zh-CN"/>
              </w:rPr>
              <w:t>60</w:t>
            </w:r>
          </w:p>
        </w:tc>
      </w:tr>
      <w:bookmarkEnd w:id="0"/>
      <w:bookmarkEnd w:id="1"/>
      <w:bookmarkEnd w:id="2"/>
    </w:tbl>
    <w:p w14:paraId="7A52979D">
      <w:pPr>
        <w:rPr>
          <w:rFonts w:hint="eastAsia" w:eastAsia="宋体"/>
          <w:sz w:val="28"/>
          <w:szCs w:val="28"/>
          <w:lang w:eastAsia="zh-CN"/>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宋体-18030">
    <w:altName w:val="微软雅黑"/>
    <w:panose1 w:val="02010609060101010101"/>
    <w:charset w:val="00"/>
    <w:family w:val="modern"/>
    <w:pitch w:val="default"/>
    <w:sig w:usb0="00000000" w:usb1="00000000" w:usb2="000A005E" w:usb3="00000000" w:csb0="00040001" w:csb1="00000000"/>
  </w:font>
  <w:font w:name="微软雅黑">
    <w:panose1 w:val="020B0503020204020204"/>
    <w:charset w:val="86"/>
    <w:family w:val="auto"/>
    <w:pitch w:val="default"/>
    <w:sig w:usb0="80000287" w:usb1="2ACF3C50" w:usb2="00000016" w:usb3="00000000" w:csb0="0004001F" w:csb1="00000000"/>
  </w:font>
  <w:font w:name="方正小标宋简体">
    <w:panose1 w:val="03000509000000000000"/>
    <w:charset w:val="86"/>
    <w:family w:val="auto"/>
    <w:pitch w:val="default"/>
    <w:sig w:usb0="00000001" w:usb1="080E0000" w:usb2="00000000" w:usb3="00000000" w:csb0="00040000" w:csb1="00000000"/>
  </w:font>
  <w:font w:name="仿宋_GB2312">
    <w:panose1 w:val="02010609030101010101"/>
    <w:charset w:val="86"/>
    <w:family w:val="modern"/>
    <w:pitch w:val="default"/>
    <w:sig w:usb0="00000001" w:usb1="080E0000" w:usb2="00000000" w:usb3="00000000" w:csb0="00040000"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AFFFE165"/>
    <w:multiLevelType w:val="singleLevel"/>
    <w:tmpl w:val="AFFFE165"/>
    <w:lvl w:ilvl="0" w:tentative="0">
      <w:start w:val="1"/>
      <w:numFmt w:val="decimal"/>
      <w:lvlText w:val="%1."/>
      <w:lvlJc w:val="left"/>
      <w:pPr>
        <w:tabs>
          <w:tab w:val="left" w:pos="312"/>
        </w:tabs>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TlhYjQ5YWIyYjhlZjBiOTlmM2E5NWUwYWYyMjQzYWUifQ=="/>
  </w:docVars>
  <w:rsids>
    <w:rsidRoot w:val="0F346659"/>
    <w:rsid w:val="0F346659"/>
    <w:rsid w:val="0FAB528C"/>
    <w:rsid w:val="131B6383"/>
    <w:rsid w:val="1FBDBA90"/>
    <w:rsid w:val="2DF3A1A8"/>
    <w:rsid w:val="3FFB57BC"/>
    <w:rsid w:val="447E1747"/>
    <w:rsid w:val="4F560168"/>
    <w:rsid w:val="57DDF9F5"/>
    <w:rsid w:val="5FBF46F8"/>
    <w:rsid w:val="67823E5E"/>
    <w:rsid w:val="67C51202"/>
    <w:rsid w:val="6BFD6C7F"/>
    <w:rsid w:val="706763FB"/>
    <w:rsid w:val="74051691"/>
    <w:rsid w:val="769D02C1"/>
    <w:rsid w:val="7B9ED7EF"/>
    <w:rsid w:val="7BC0B58D"/>
    <w:rsid w:val="7CDF73CE"/>
    <w:rsid w:val="7F3DB6F3"/>
    <w:rsid w:val="7FDDBC1D"/>
    <w:rsid w:val="7FDEB418"/>
    <w:rsid w:val="9FDAC8B8"/>
    <w:rsid w:val="AF984119"/>
    <w:rsid w:val="AFFBC32C"/>
    <w:rsid w:val="B3DDB668"/>
    <w:rsid w:val="B6BD7793"/>
    <w:rsid w:val="BB7FBCB4"/>
    <w:rsid w:val="BD7723AE"/>
    <w:rsid w:val="BF1D20E8"/>
    <w:rsid w:val="BF755E24"/>
    <w:rsid w:val="BF7E13E6"/>
    <w:rsid w:val="BFEDF301"/>
    <w:rsid w:val="E7C698FD"/>
    <w:rsid w:val="ED871693"/>
    <w:rsid w:val="EF8F78C9"/>
    <w:rsid w:val="F65F123C"/>
    <w:rsid w:val="F77FC66A"/>
    <w:rsid w:val="F7ED78FA"/>
    <w:rsid w:val="FBBB1C10"/>
    <w:rsid w:val="FEEA8BC2"/>
    <w:rsid w:val="FEFB6ADE"/>
    <w:rsid w:val="FEFF6B30"/>
    <w:rsid w:val="FF7922FF"/>
    <w:rsid w:val="FFAEEAA3"/>
    <w:rsid w:val="FFAFFA6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99"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qFormat="1"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1"/>
    <w:basedOn w:val="1"/>
    <w:next w:val="1"/>
    <w:qFormat/>
    <w:uiPriority w:val="0"/>
    <w:pPr>
      <w:keepNext/>
      <w:keepLines/>
      <w:spacing w:line="360" w:lineRule="auto"/>
      <w:outlineLvl w:val="0"/>
    </w:pPr>
    <w:rPr>
      <w:b/>
      <w:bCs/>
      <w:kern w:val="44"/>
      <w:sz w:val="32"/>
      <w:szCs w:val="44"/>
    </w:rPr>
  </w:style>
  <w:style w:type="character" w:default="1" w:styleId="6">
    <w:name w:val="Default Paragraph Font"/>
    <w:semiHidden/>
    <w:qFormat/>
    <w:uiPriority w:val="0"/>
  </w:style>
  <w:style w:type="table" w:default="1" w:styleId="5">
    <w:name w:val="Normal Table"/>
    <w:semiHidden/>
    <w:qFormat/>
    <w:uiPriority w:val="0"/>
    <w:tblPr>
      <w:tblCellMar>
        <w:top w:w="0" w:type="dxa"/>
        <w:left w:w="108" w:type="dxa"/>
        <w:bottom w:w="0" w:type="dxa"/>
        <w:right w:w="108" w:type="dxa"/>
      </w:tblCellMar>
    </w:tblPr>
  </w:style>
  <w:style w:type="paragraph" w:styleId="3">
    <w:name w:val="table of authorities"/>
    <w:basedOn w:val="1"/>
    <w:next w:val="1"/>
    <w:qFormat/>
    <w:uiPriority w:val="0"/>
    <w:pPr>
      <w:ind w:left="420" w:leftChars="200"/>
    </w:pPr>
    <w:rPr>
      <w:rFonts w:cs="Times New Roman"/>
      <w:szCs w:val="32"/>
    </w:rPr>
  </w:style>
  <w:style w:type="paragraph" w:styleId="4">
    <w:name w:val="header"/>
    <w:basedOn w:val="1"/>
    <w:qFormat/>
    <w:uiPriority w:val="99"/>
    <w:pPr>
      <w:pBdr>
        <w:bottom w:val="single" w:color="auto" w:sz="6" w:space="1"/>
      </w:pBdr>
      <w:tabs>
        <w:tab w:val="center" w:pos="4153"/>
        <w:tab w:val="right" w:pos="8306"/>
      </w:tabs>
      <w:snapToGrid w:val="0"/>
    </w:pPr>
    <w:rPr>
      <w:sz w:val="18"/>
      <w:szCs w:val="18"/>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Pages>
  <Words>691</Words>
  <Characters>742</Characters>
  <Lines>0</Lines>
  <Paragraphs>0</Paragraphs>
  <TotalTime>6</TotalTime>
  <ScaleCrop>false</ScaleCrop>
  <LinksUpToDate>false</LinksUpToDate>
  <CharactersWithSpaces>746</CharactersWithSpaces>
  <Application>WPS Office_12.8.2.1119_F1E327BC-269C-435d-A152-05C5408002CA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2025-11-27T01:20:00Z</dcterms:created>
  <dc:creator>Garbage</dc:creator>
  <cp:lastModifiedBy>利</cp:lastModifiedBy>
  <cp:lastPrinted>2025-11-25T11:29:00Z</cp:lastPrinted>
  <dcterms:modified xsi:type="dcterms:W3CDTF">2026-09-04T10:06:29Z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2052-12.8.2.1119</vt:lpwstr>
  </property>
  <property fmtid="{D5CDD505-2E9C-101B-9397-08002B2CF9AE}" pid="3" name="ICV">
    <vt:lpwstr>94F9F1B4B73440A28F47B6E381400DA0_13</vt:lpwstr>
  </property>
  <property fmtid="{D5CDD505-2E9C-101B-9397-08002B2CF9AE}" pid="4" name="KSOTemplateDocerSaveRecord">
    <vt:lpwstr>eyJoZGlkIjoiYWQ3ZmVhMTU4OTg3NDAyYmJjNTlhZGUyMTBmZDZjOGEiLCJ1c2VySWQiOiI0MTA3Mzk2NzQifQ==</vt:lpwstr>
  </property>
</Properties>
</file>