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E40210C">
      <w:pPr>
        <w:pStyle w:val="3"/>
        <w:spacing w:line="0" w:lineRule="atLeast"/>
        <w:rPr>
          <w:rFonts w:hint="eastAsia" w:ascii="黑体" w:hAnsi="宋体" w:eastAsia="黑体" w:cs="宋体-18030"/>
          <w:b w:val="0"/>
          <w:bCs w:val="0"/>
          <w:kern w:val="2"/>
          <w:szCs w:val="32"/>
          <w:lang w:eastAsia="zh-CN"/>
        </w:rPr>
      </w:pPr>
      <w:bookmarkStart w:id="0" w:name="_Toc16820"/>
      <w:bookmarkStart w:id="1" w:name="_Toc23084"/>
      <w:bookmarkStart w:id="2" w:name="_Toc519977196"/>
      <w:r>
        <w:rPr>
          <w:rFonts w:hint="eastAsia" w:ascii="黑体" w:hAnsi="宋体" w:eastAsia="黑体" w:cs="宋体-18030"/>
          <w:b w:val="0"/>
          <w:bCs w:val="0"/>
          <w:kern w:val="2"/>
          <w:szCs w:val="32"/>
        </w:rPr>
        <w:t>附件</w:t>
      </w:r>
      <w:r>
        <w:rPr>
          <w:rFonts w:hint="eastAsia" w:ascii="黑体" w:hAnsi="宋体" w:eastAsia="黑体" w:cs="宋体-18030"/>
          <w:b w:val="0"/>
          <w:bCs w:val="0"/>
          <w:kern w:val="2"/>
          <w:szCs w:val="32"/>
          <w:lang w:val="en-US" w:eastAsia="zh-CN"/>
        </w:rPr>
        <w:t>2</w:t>
      </w:r>
      <w:bookmarkStart w:id="3" w:name="_GoBack"/>
      <w:bookmarkEnd w:id="3"/>
    </w:p>
    <w:p w14:paraId="3D2AE8E1">
      <w:pPr>
        <w:pStyle w:val="3"/>
        <w:spacing w:line="0" w:lineRule="atLeast"/>
        <w:jc w:val="center"/>
        <w:rPr>
          <w:rFonts w:ascii="方正小标宋简体" w:hAnsi="方正小标宋简体" w:eastAsia="方正小标宋简体" w:cs="方正小标宋简体"/>
          <w:color w:val="000000"/>
          <w:kern w:val="0"/>
        </w:rPr>
      </w:pPr>
      <w:r>
        <w:rPr>
          <w:rFonts w:hint="eastAsia" w:ascii="方正小标宋简体" w:hAnsi="方正小标宋简体" w:eastAsia="方正小标宋简体" w:cs="方正小标宋简体"/>
          <w:color w:val="000000"/>
          <w:kern w:val="0"/>
        </w:rPr>
        <w:t>比选评分标准</w:t>
      </w:r>
    </w:p>
    <w:p w14:paraId="70FFE2F6"/>
    <w:tbl>
      <w:tblPr>
        <w:tblStyle w:val="6"/>
        <w:tblW w:w="1016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12"/>
        <w:gridCol w:w="6136"/>
        <w:gridCol w:w="2921"/>
      </w:tblGrid>
      <w:tr w14:paraId="7A7910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4" w:hRule="atLeast"/>
          <w:jc w:val="center"/>
        </w:trPr>
        <w:tc>
          <w:tcPr>
            <w:tcW w:w="1112" w:type="dxa"/>
            <w:vAlign w:val="center"/>
          </w:tcPr>
          <w:p w14:paraId="26FEAEDA">
            <w:pPr>
              <w:spacing w:line="0" w:lineRule="atLeast"/>
              <w:jc w:val="center"/>
              <w:rPr>
                <w:rFonts w:ascii="仿宋_GB2312" w:hAnsi="仿宋_GB2312" w:eastAsia="仿宋_GB2312" w:cs="仿宋_GB2312"/>
                <w:sz w:val="32"/>
              </w:rPr>
            </w:pPr>
            <w:r>
              <w:rPr>
                <w:rFonts w:hint="eastAsia" w:ascii="仿宋_GB2312" w:hAnsi="仿宋_GB2312" w:eastAsia="仿宋_GB2312" w:cs="仿宋_GB2312"/>
                <w:b/>
                <w:bCs/>
                <w:sz w:val="28"/>
                <w:szCs w:val="28"/>
              </w:rPr>
              <w:t>评分项</w:t>
            </w:r>
          </w:p>
        </w:tc>
        <w:tc>
          <w:tcPr>
            <w:tcW w:w="6136" w:type="dxa"/>
            <w:vAlign w:val="center"/>
          </w:tcPr>
          <w:p w14:paraId="11365AD6">
            <w:pPr>
              <w:spacing w:line="0" w:lineRule="atLeast"/>
              <w:jc w:val="center"/>
              <w:rPr>
                <w:rFonts w:ascii="仿宋_GB2312" w:hAnsi="仿宋_GB2312" w:eastAsia="仿宋_GB2312" w:cs="仿宋_GB2312"/>
                <w:sz w:val="28"/>
                <w:szCs w:val="28"/>
              </w:rPr>
            </w:pPr>
            <w:r>
              <w:rPr>
                <w:rFonts w:hint="eastAsia" w:ascii="仿宋_GB2312" w:hAnsi="仿宋_GB2312" w:eastAsia="仿宋_GB2312" w:cs="仿宋_GB2312"/>
                <w:sz w:val="28"/>
                <w:szCs w:val="28"/>
              </w:rPr>
              <w:t>评分标准</w:t>
            </w:r>
          </w:p>
        </w:tc>
        <w:tc>
          <w:tcPr>
            <w:tcW w:w="2921" w:type="dxa"/>
            <w:vAlign w:val="center"/>
          </w:tcPr>
          <w:p w14:paraId="413FD746">
            <w:pPr>
              <w:spacing w:line="0" w:lineRule="atLeast"/>
              <w:jc w:val="center"/>
              <w:rPr>
                <w:rFonts w:ascii="仿宋_GB2312" w:hAnsi="仿宋_GB2312" w:eastAsia="仿宋_GB2312" w:cs="仿宋_GB2312"/>
                <w:sz w:val="28"/>
                <w:szCs w:val="28"/>
              </w:rPr>
            </w:pPr>
            <w:r>
              <w:rPr>
                <w:rFonts w:hint="eastAsia" w:ascii="仿宋_GB2312" w:hAnsi="仿宋_GB2312" w:eastAsia="仿宋_GB2312" w:cs="仿宋_GB2312"/>
                <w:sz w:val="28"/>
                <w:szCs w:val="28"/>
              </w:rPr>
              <w:t>分值</w:t>
            </w:r>
          </w:p>
        </w:tc>
      </w:tr>
      <w:tr w14:paraId="06AE6C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3" w:hRule="atLeast"/>
          <w:jc w:val="center"/>
        </w:trPr>
        <w:tc>
          <w:tcPr>
            <w:tcW w:w="1112" w:type="dxa"/>
            <w:vAlign w:val="center"/>
          </w:tcPr>
          <w:p w14:paraId="6B842F95">
            <w:pPr>
              <w:spacing w:line="0" w:lineRule="atLeast"/>
              <w:jc w:val="left"/>
              <w:rPr>
                <w:rFonts w:ascii="仿宋_GB2312" w:hAnsi="仿宋_GB2312" w:eastAsia="仿宋_GB2312" w:cs="仿宋_GB2312"/>
                <w:b/>
                <w:bCs/>
                <w:sz w:val="28"/>
                <w:szCs w:val="28"/>
              </w:rPr>
            </w:pPr>
            <w:r>
              <w:rPr>
                <w:rFonts w:hint="eastAsia" w:ascii="仿宋_GB2312" w:hAnsi="仿宋_GB2312" w:eastAsia="仿宋_GB2312" w:cs="仿宋_GB2312"/>
                <w:b/>
                <w:bCs/>
                <w:sz w:val="28"/>
                <w:szCs w:val="28"/>
              </w:rPr>
              <w:t>相关</w:t>
            </w:r>
          </w:p>
          <w:p w14:paraId="5BDB20AE">
            <w:pPr>
              <w:spacing w:line="0" w:lineRule="atLeast"/>
              <w:jc w:val="left"/>
              <w:rPr>
                <w:rFonts w:ascii="仿宋_GB2312" w:hAnsi="仿宋_GB2312" w:eastAsia="仿宋_GB2312" w:cs="仿宋_GB2312"/>
                <w:b/>
                <w:bCs/>
                <w:sz w:val="28"/>
                <w:szCs w:val="28"/>
              </w:rPr>
            </w:pPr>
            <w:r>
              <w:rPr>
                <w:rFonts w:hint="eastAsia" w:ascii="仿宋_GB2312" w:hAnsi="仿宋_GB2312" w:eastAsia="仿宋_GB2312" w:cs="仿宋_GB2312"/>
                <w:b/>
                <w:bCs/>
                <w:sz w:val="28"/>
                <w:szCs w:val="28"/>
              </w:rPr>
              <w:t>业绩</w:t>
            </w:r>
          </w:p>
          <w:p w14:paraId="79061441">
            <w:pPr>
              <w:spacing w:line="0" w:lineRule="atLeast"/>
              <w:jc w:val="center"/>
              <w:rPr>
                <w:rFonts w:ascii="仿宋_GB2312" w:hAnsi="仿宋_GB2312" w:eastAsia="仿宋_GB2312" w:cs="仿宋_GB2312"/>
                <w:sz w:val="32"/>
              </w:rPr>
            </w:pPr>
          </w:p>
        </w:tc>
        <w:tc>
          <w:tcPr>
            <w:tcW w:w="6136" w:type="dxa"/>
            <w:vAlign w:val="center"/>
          </w:tcPr>
          <w:p w14:paraId="44204251">
            <w:pPr>
              <w:spacing w:line="0" w:lineRule="atLeast"/>
              <w:jc w:val="left"/>
              <w:rPr>
                <w:rFonts w:ascii="仿宋_GB2312" w:hAnsi="仿宋_GB2312" w:eastAsia="仿宋_GB2312" w:cs="仿宋_GB2312"/>
                <w:sz w:val="28"/>
                <w:szCs w:val="28"/>
              </w:rPr>
            </w:pPr>
            <w:r>
              <w:rPr>
                <w:rFonts w:hint="eastAsia" w:ascii="仿宋_GB2312" w:hAnsi="仿宋_GB2312" w:eastAsia="仿宋_GB2312" w:cs="仿宋_GB2312"/>
                <w:sz w:val="28"/>
                <w:szCs w:val="28"/>
              </w:rPr>
              <w:t>近3年的项目</w:t>
            </w:r>
            <w:r>
              <w:rPr>
                <w:rFonts w:hint="eastAsia" w:ascii="仿宋_GB2312" w:hAnsi="仿宋_GB2312" w:eastAsia="仿宋_GB2312" w:cs="仿宋_GB2312"/>
                <w:sz w:val="28"/>
                <w:szCs w:val="28"/>
                <w:lang w:val="en-US" w:eastAsia="zh-CN"/>
              </w:rPr>
              <w:t>工程量清单、招标控制价编制</w:t>
            </w:r>
            <w:r>
              <w:rPr>
                <w:rFonts w:hint="eastAsia" w:ascii="仿宋_GB2312" w:hAnsi="仿宋_GB2312" w:eastAsia="仿宋_GB2312" w:cs="仿宋_GB2312"/>
                <w:sz w:val="28"/>
                <w:szCs w:val="28"/>
              </w:rPr>
              <w:t>服务业绩（合同或中标通知书），每个业绩4分，最多得10分</w:t>
            </w:r>
          </w:p>
        </w:tc>
        <w:tc>
          <w:tcPr>
            <w:tcW w:w="2921" w:type="dxa"/>
            <w:vAlign w:val="center"/>
          </w:tcPr>
          <w:p w14:paraId="31A0B560">
            <w:pPr>
              <w:spacing w:line="0" w:lineRule="atLeast"/>
              <w:jc w:val="center"/>
              <w:rPr>
                <w:rFonts w:ascii="仿宋_GB2312" w:hAnsi="仿宋_GB2312" w:eastAsia="仿宋_GB2312" w:cs="仿宋_GB2312"/>
                <w:sz w:val="28"/>
                <w:szCs w:val="28"/>
              </w:rPr>
            </w:pPr>
            <w:r>
              <w:rPr>
                <w:rFonts w:hint="eastAsia" w:ascii="仿宋_GB2312" w:hAnsi="仿宋_GB2312" w:eastAsia="仿宋_GB2312" w:cs="仿宋_GB2312"/>
                <w:sz w:val="28"/>
                <w:szCs w:val="28"/>
              </w:rPr>
              <w:t>10</w:t>
            </w:r>
          </w:p>
        </w:tc>
      </w:tr>
      <w:tr w14:paraId="7A6059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86" w:hRule="atLeast"/>
          <w:jc w:val="center"/>
        </w:trPr>
        <w:tc>
          <w:tcPr>
            <w:tcW w:w="1112" w:type="dxa"/>
            <w:vAlign w:val="center"/>
          </w:tcPr>
          <w:p w14:paraId="338C1777">
            <w:pPr>
              <w:spacing w:line="0" w:lineRule="atLeast"/>
              <w:jc w:val="left"/>
              <w:rPr>
                <w:rFonts w:ascii="仿宋_GB2312" w:hAnsi="仿宋_GB2312" w:eastAsia="仿宋_GB2312" w:cs="仿宋_GB2312"/>
                <w:b/>
                <w:bCs/>
                <w:sz w:val="28"/>
                <w:szCs w:val="28"/>
              </w:rPr>
            </w:pPr>
            <w:r>
              <w:rPr>
                <w:rFonts w:hint="eastAsia" w:ascii="仿宋_GB2312" w:hAnsi="仿宋_GB2312" w:eastAsia="仿宋_GB2312" w:cs="仿宋_GB2312"/>
                <w:b/>
                <w:bCs/>
                <w:sz w:val="28"/>
                <w:szCs w:val="28"/>
              </w:rPr>
              <w:t>方案</w:t>
            </w:r>
          </w:p>
          <w:p w14:paraId="054600E2">
            <w:pPr>
              <w:spacing w:line="0" w:lineRule="atLeast"/>
              <w:jc w:val="left"/>
              <w:rPr>
                <w:rFonts w:ascii="仿宋_GB2312" w:hAnsi="仿宋_GB2312" w:eastAsia="仿宋_GB2312" w:cs="仿宋_GB2312"/>
                <w:b/>
                <w:bCs/>
                <w:sz w:val="28"/>
                <w:szCs w:val="28"/>
              </w:rPr>
            </w:pPr>
            <w:r>
              <w:rPr>
                <w:rFonts w:hint="eastAsia" w:ascii="仿宋_GB2312" w:hAnsi="仿宋_GB2312" w:eastAsia="仿宋_GB2312" w:cs="仿宋_GB2312"/>
                <w:b/>
                <w:bCs/>
                <w:sz w:val="28"/>
                <w:szCs w:val="28"/>
              </w:rPr>
              <w:t>得分</w:t>
            </w:r>
          </w:p>
          <w:p w14:paraId="2B0E68C1">
            <w:pPr>
              <w:spacing w:line="0" w:lineRule="atLeast"/>
              <w:jc w:val="center"/>
              <w:rPr>
                <w:rFonts w:ascii="仿宋_GB2312" w:hAnsi="仿宋_GB2312" w:eastAsia="仿宋_GB2312" w:cs="仿宋_GB2312"/>
                <w:sz w:val="32"/>
              </w:rPr>
            </w:pPr>
          </w:p>
        </w:tc>
        <w:tc>
          <w:tcPr>
            <w:tcW w:w="6136" w:type="dxa"/>
            <w:vAlign w:val="center"/>
          </w:tcPr>
          <w:p w14:paraId="2D56EAF5">
            <w:pPr>
              <w:spacing w:line="0" w:lineRule="atLeast"/>
              <w:ind w:left="560" w:hanging="560" w:hangingChars="200"/>
              <w:jc w:val="left"/>
              <w:rPr>
                <w:rFonts w:ascii="仿宋_GB2312" w:hAnsi="仿宋_GB2312" w:eastAsia="仿宋_GB2312" w:cs="仿宋_GB2312"/>
                <w:sz w:val="28"/>
                <w:szCs w:val="28"/>
              </w:rPr>
            </w:pPr>
            <w:r>
              <w:rPr>
                <w:rFonts w:hint="eastAsia" w:ascii="仿宋_GB2312" w:hAnsi="仿宋_GB2312" w:eastAsia="仿宋_GB2312" w:cs="仿宋_GB2312"/>
                <w:sz w:val="28"/>
                <w:szCs w:val="28"/>
              </w:rPr>
              <w:t>1、组织机构人员配备，专业合理，专家具备高级职称或具有相等相关专业执业资格证书的，每个专家</w:t>
            </w:r>
            <w:r>
              <w:rPr>
                <w:rFonts w:ascii="仿宋_GB2312" w:hAnsi="仿宋_GB2312" w:eastAsia="仿宋_GB2312" w:cs="仿宋_GB2312"/>
                <w:sz w:val="28"/>
                <w:szCs w:val="28"/>
              </w:rPr>
              <w:t>2</w:t>
            </w:r>
            <w:r>
              <w:rPr>
                <w:rFonts w:hint="eastAsia" w:ascii="仿宋_GB2312" w:hAnsi="仿宋_GB2312" w:eastAsia="仿宋_GB2312" w:cs="仿宋_GB2312"/>
                <w:sz w:val="28"/>
                <w:szCs w:val="28"/>
              </w:rPr>
              <w:t>分，最多得8分。</w:t>
            </w:r>
          </w:p>
          <w:p w14:paraId="4DF60A93">
            <w:pPr>
              <w:spacing w:line="0" w:lineRule="atLeast"/>
              <w:ind w:left="560" w:hanging="560" w:hangingChars="200"/>
              <w:jc w:val="left"/>
              <w:rPr>
                <w:rFonts w:ascii="仿宋_GB2312" w:hAnsi="仿宋_GB2312" w:eastAsia="仿宋_GB2312" w:cs="仿宋_GB2312"/>
                <w:sz w:val="28"/>
                <w:szCs w:val="28"/>
              </w:rPr>
            </w:pPr>
            <w:r>
              <w:rPr>
                <w:rFonts w:hint="eastAsia" w:ascii="仿宋_GB2312" w:hAnsi="仿宋_GB2312" w:eastAsia="仿宋_GB2312" w:cs="仿宋_GB2312"/>
                <w:sz w:val="28"/>
                <w:szCs w:val="28"/>
              </w:rPr>
              <w:t>2、本次</w:t>
            </w:r>
            <w:r>
              <w:rPr>
                <w:rFonts w:hint="eastAsia" w:ascii="仿宋_GB2312" w:hAnsi="仿宋_GB2312" w:eastAsia="仿宋_GB2312" w:cs="仿宋_GB2312"/>
                <w:sz w:val="28"/>
                <w:szCs w:val="28"/>
                <w:lang w:val="en-US" w:eastAsia="zh-CN"/>
              </w:rPr>
              <w:t>工程量清单、招标控制价</w:t>
            </w:r>
            <w:r>
              <w:rPr>
                <w:rFonts w:hint="eastAsia" w:ascii="仿宋_GB2312" w:hAnsi="仿宋_GB2312" w:eastAsia="仿宋_GB2312" w:cs="仿宋_GB2312"/>
                <w:sz w:val="28"/>
                <w:szCs w:val="28"/>
              </w:rPr>
              <w:t>编制方案（满分12分）主要涵盖</w:t>
            </w:r>
            <w:r>
              <w:rPr>
                <w:rFonts w:hint="eastAsia" w:ascii="仿宋_GB2312" w:hAnsi="仿宋_GB2312" w:eastAsia="仿宋_GB2312" w:cs="仿宋_GB2312"/>
                <w:sz w:val="28"/>
                <w:szCs w:val="28"/>
                <w:lang w:eastAsia="zh-CN"/>
              </w:rPr>
              <w:t>项目概况与服务范围</w:t>
            </w:r>
            <w:r>
              <w:rPr>
                <w:rFonts w:hint="eastAsia" w:ascii="仿宋_GB2312" w:hAnsi="仿宋_GB2312" w:eastAsia="仿宋_GB2312" w:cs="仿宋_GB2312"/>
                <w:sz w:val="28"/>
                <w:szCs w:val="28"/>
              </w:rPr>
              <w:t>、编制大纲、编制工作组织机构、工作流程与时间计划等。评分将根据方案的全面性与完成质量划分为四档：优秀 (9-12分)：方案周全，环节完整，执行性强。良好 (6-9分)：方案较全面，环节无疏漏。一般 (3-6分)：方案基本完整，但存在不足。较差 (0-3分)：方案有重大缺失或缺陷。</w:t>
            </w:r>
          </w:p>
          <w:p w14:paraId="41730C5B">
            <w:pPr>
              <w:spacing w:line="0" w:lineRule="atLeast"/>
              <w:rPr>
                <w:rFonts w:ascii="仿宋_GB2312" w:hAnsi="仿宋_GB2312" w:eastAsia="仿宋_GB2312" w:cs="仿宋_GB2312"/>
                <w:sz w:val="28"/>
                <w:szCs w:val="28"/>
              </w:rPr>
            </w:pPr>
            <w:r>
              <w:rPr>
                <w:rFonts w:hint="eastAsia" w:ascii="仿宋_GB2312" w:hAnsi="仿宋_GB2312" w:eastAsia="仿宋_GB2312" w:cs="仿宋_GB2312"/>
                <w:sz w:val="28"/>
                <w:szCs w:val="28"/>
              </w:rPr>
              <w:t>3、</w:t>
            </w:r>
            <w:r>
              <w:rPr>
                <w:rFonts w:hint="eastAsia" w:ascii="仿宋_GB2312" w:hAnsi="仿宋_GB2312" w:eastAsia="仿宋_GB2312" w:cs="仿宋_GB2312"/>
                <w:sz w:val="28"/>
                <w:szCs w:val="28"/>
                <w:highlight w:val="none"/>
              </w:rPr>
              <w:t>项目负责人具有</w:t>
            </w:r>
            <w:r>
              <w:rPr>
                <w:rFonts w:hint="eastAsia" w:ascii="仿宋_GB2312" w:hAnsi="仿宋_GB2312" w:eastAsia="仿宋_GB2312" w:cs="仿宋_GB2312"/>
                <w:sz w:val="28"/>
                <w:szCs w:val="28"/>
                <w:highlight w:val="none"/>
                <w:lang w:eastAsia="zh-CN"/>
              </w:rPr>
              <w:t>本专业</w:t>
            </w:r>
            <w:r>
              <w:rPr>
                <w:rFonts w:hint="eastAsia" w:ascii="仿宋_GB2312" w:hAnsi="仿宋_GB2312" w:eastAsia="仿宋_GB2312" w:cs="仿宋_GB2312"/>
                <w:sz w:val="28"/>
                <w:szCs w:val="28"/>
                <w:highlight w:val="none"/>
              </w:rPr>
              <w:t>执业资格证书的</w:t>
            </w:r>
            <w:r>
              <w:rPr>
                <w:rFonts w:hint="eastAsia" w:ascii="仿宋_GB2312" w:hAnsi="仿宋_GB2312" w:eastAsia="仿宋_GB2312" w:cs="仿宋_GB2312"/>
                <w:sz w:val="28"/>
                <w:szCs w:val="28"/>
              </w:rPr>
              <w:t>得7分，每低一档扣2分。最多得7分。</w:t>
            </w:r>
          </w:p>
          <w:p w14:paraId="78DB516B">
            <w:pPr>
              <w:spacing w:line="0" w:lineRule="atLeast"/>
              <w:ind w:left="560" w:hanging="560" w:hangingChars="200"/>
              <w:jc w:val="left"/>
              <w:rPr>
                <w:rFonts w:ascii="仿宋_GB2312" w:hAnsi="仿宋_GB2312" w:eastAsia="仿宋_GB2312" w:cs="仿宋_GB2312"/>
                <w:sz w:val="28"/>
                <w:szCs w:val="28"/>
                <w:highlight w:val="yellow"/>
              </w:rPr>
            </w:pPr>
            <w:r>
              <w:rPr>
                <w:rFonts w:hint="eastAsia" w:ascii="仿宋_GB2312" w:hAnsi="仿宋_GB2312" w:eastAsia="仿宋_GB2312" w:cs="仿宋_GB2312"/>
                <w:sz w:val="28"/>
                <w:szCs w:val="28"/>
              </w:rPr>
              <w:t>4、服务承诺方案优秀得3分，良好得2分，一般得1分，较差0分（3分）</w:t>
            </w:r>
          </w:p>
        </w:tc>
        <w:tc>
          <w:tcPr>
            <w:tcW w:w="2921" w:type="dxa"/>
            <w:vAlign w:val="center"/>
          </w:tcPr>
          <w:p w14:paraId="713BE301">
            <w:pPr>
              <w:spacing w:line="0" w:lineRule="atLeast"/>
              <w:jc w:val="center"/>
              <w:rPr>
                <w:rFonts w:hint="eastAsia" w:ascii="仿宋_GB2312" w:hAnsi="仿宋_GB2312" w:eastAsia="仿宋_GB2312" w:cs="仿宋_GB2312"/>
                <w:sz w:val="28"/>
                <w:szCs w:val="28"/>
              </w:rPr>
            </w:pPr>
          </w:p>
          <w:p w14:paraId="4B86A719">
            <w:pPr>
              <w:spacing w:line="0" w:lineRule="atLeast"/>
              <w:jc w:val="center"/>
              <w:rPr>
                <w:rFonts w:hint="eastAsia" w:ascii="仿宋_GB2312" w:hAnsi="仿宋_GB2312" w:eastAsia="仿宋_GB2312" w:cs="仿宋_GB2312"/>
                <w:sz w:val="28"/>
                <w:szCs w:val="28"/>
              </w:rPr>
            </w:pPr>
          </w:p>
          <w:p w14:paraId="742715B9">
            <w:pPr>
              <w:spacing w:line="0" w:lineRule="atLeast"/>
              <w:jc w:val="center"/>
              <w:rPr>
                <w:rFonts w:hint="eastAsia" w:ascii="仿宋_GB2312" w:hAnsi="仿宋_GB2312" w:eastAsia="仿宋_GB2312" w:cs="仿宋_GB2312"/>
                <w:sz w:val="28"/>
                <w:szCs w:val="28"/>
              </w:rPr>
            </w:pPr>
          </w:p>
          <w:p w14:paraId="44157EC6">
            <w:pPr>
              <w:spacing w:line="0" w:lineRule="atLeast"/>
              <w:jc w:val="center"/>
              <w:rPr>
                <w:rFonts w:hint="eastAsia" w:ascii="仿宋_GB2312" w:hAnsi="仿宋_GB2312" w:eastAsia="仿宋_GB2312" w:cs="仿宋_GB2312"/>
                <w:sz w:val="28"/>
                <w:szCs w:val="28"/>
              </w:rPr>
            </w:pPr>
          </w:p>
          <w:p w14:paraId="4957CD7E">
            <w:pPr>
              <w:spacing w:line="0" w:lineRule="atLeast"/>
              <w:jc w:val="center"/>
              <w:rPr>
                <w:rFonts w:hint="eastAsia" w:ascii="仿宋_GB2312" w:hAnsi="仿宋_GB2312" w:eastAsia="仿宋_GB2312" w:cs="仿宋_GB2312"/>
                <w:sz w:val="28"/>
                <w:szCs w:val="28"/>
              </w:rPr>
            </w:pPr>
          </w:p>
          <w:p w14:paraId="319756FE">
            <w:pPr>
              <w:spacing w:line="0" w:lineRule="atLeast"/>
              <w:jc w:val="center"/>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30</w:t>
            </w:r>
          </w:p>
          <w:p w14:paraId="5578CDFE">
            <w:pPr>
              <w:pStyle w:val="2"/>
              <w:rPr>
                <w:rFonts w:hint="eastAsia" w:ascii="仿宋_GB2312" w:hAnsi="仿宋_GB2312" w:eastAsia="仿宋_GB2312" w:cs="仿宋_GB2312"/>
                <w:sz w:val="28"/>
                <w:szCs w:val="28"/>
              </w:rPr>
            </w:pPr>
          </w:p>
          <w:p w14:paraId="44793853">
            <w:pPr>
              <w:rPr>
                <w:rFonts w:hint="eastAsia" w:ascii="仿宋_GB2312" w:hAnsi="仿宋_GB2312" w:eastAsia="仿宋_GB2312" w:cs="仿宋_GB2312"/>
                <w:sz w:val="28"/>
                <w:szCs w:val="28"/>
              </w:rPr>
            </w:pPr>
          </w:p>
          <w:p w14:paraId="31A7388A">
            <w:pPr>
              <w:pStyle w:val="2"/>
              <w:rPr>
                <w:rFonts w:hint="default" w:eastAsia="仿宋_GB2312"/>
                <w:lang w:val="en-US" w:eastAsia="zh-CN"/>
              </w:rPr>
            </w:pPr>
          </w:p>
        </w:tc>
      </w:tr>
      <w:tr w14:paraId="3BC250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86" w:hRule="atLeast"/>
          <w:jc w:val="center"/>
        </w:trPr>
        <w:tc>
          <w:tcPr>
            <w:tcW w:w="1112" w:type="dxa"/>
            <w:vAlign w:val="center"/>
          </w:tcPr>
          <w:p w14:paraId="7F1640A0">
            <w:pPr>
              <w:spacing w:line="0" w:lineRule="atLeast"/>
              <w:jc w:val="left"/>
              <w:rPr>
                <w:rFonts w:ascii="仿宋_GB2312" w:hAnsi="仿宋_GB2312" w:eastAsia="仿宋_GB2312" w:cs="仿宋_GB2312"/>
                <w:b/>
                <w:bCs/>
                <w:sz w:val="28"/>
                <w:szCs w:val="28"/>
              </w:rPr>
            </w:pPr>
            <w:r>
              <w:rPr>
                <w:rFonts w:hint="eastAsia" w:ascii="仿宋_GB2312" w:hAnsi="仿宋_GB2312" w:eastAsia="仿宋_GB2312" w:cs="仿宋_GB2312"/>
                <w:b/>
                <w:bCs/>
                <w:sz w:val="28"/>
                <w:szCs w:val="28"/>
              </w:rPr>
              <w:t>报价</w:t>
            </w:r>
          </w:p>
          <w:p w14:paraId="733466D5">
            <w:pPr>
              <w:spacing w:line="0" w:lineRule="atLeast"/>
              <w:jc w:val="left"/>
              <w:rPr>
                <w:rFonts w:ascii="仿宋_GB2312" w:hAnsi="仿宋_GB2312" w:eastAsia="仿宋_GB2312" w:cs="仿宋_GB2312"/>
                <w:b/>
                <w:bCs/>
                <w:sz w:val="28"/>
                <w:szCs w:val="28"/>
              </w:rPr>
            </w:pPr>
            <w:r>
              <w:rPr>
                <w:rFonts w:hint="eastAsia" w:ascii="仿宋_GB2312" w:hAnsi="仿宋_GB2312" w:eastAsia="仿宋_GB2312" w:cs="仿宋_GB2312"/>
                <w:b/>
                <w:bCs/>
                <w:sz w:val="28"/>
                <w:szCs w:val="28"/>
              </w:rPr>
              <w:t>得分</w:t>
            </w:r>
          </w:p>
          <w:p w14:paraId="087A2BBC">
            <w:pPr>
              <w:spacing w:line="0" w:lineRule="atLeast"/>
              <w:jc w:val="center"/>
              <w:rPr>
                <w:rFonts w:ascii="仿宋_GB2312" w:hAnsi="仿宋_GB2312" w:eastAsia="仿宋_GB2312" w:cs="仿宋_GB2312"/>
                <w:sz w:val="32"/>
              </w:rPr>
            </w:pPr>
          </w:p>
        </w:tc>
        <w:tc>
          <w:tcPr>
            <w:tcW w:w="6136" w:type="dxa"/>
            <w:vAlign w:val="center"/>
          </w:tcPr>
          <w:p w14:paraId="252D5492">
            <w:pPr>
              <w:spacing w:line="0" w:lineRule="atLeast"/>
              <w:jc w:val="left"/>
              <w:rPr>
                <w:rFonts w:ascii="仿宋_GB2312" w:hAnsi="仿宋_GB2312" w:eastAsia="仿宋_GB2312" w:cs="仿宋_GB2312"/>
                <w:sz w:val="28"/>
                <w:szCs w:val="28"/>
              </w:rPr>
            </w:pPr>
            <w:r>
              <w:rPr>
                <w:rFonts w:hint="eastAsia" w:ascii="仿宋_GB2312" w:hAnsi="仿宋_GB2312" w:eastAsia="仿宋_GB2312" w:cs="仿宋_GB2312"/>
                <w:sz w:val="28"/>
                <w:szCs w:val="28"/>
              </w:rPr>
              <w:t>1）比选基准价为基数，报价与比选基准价一致得60分；</w:t>
            </w:r>
          </w:p>
          <w:p w14:paraId="65630821">
            <w:pPr>
              <w:spacing w:line="0" w:lineRule="atLeast"/>
              <w:jc w:val="left"/>
              <w:rPr>
                <w:rFonts w:ascii="仿宋_GB2312" w:hAnsi="仿宋_GB2312" w:eastAsia="仿宋_GB2312" w:cs="仿宋_GB2312"/>
                <w:sz w:val="28"/>
                <w:szCs w:val="28"/>
              </w:rPr>
            </w:pPr>
            <w:r>
              <w:rPr>
                <w:rFonts w:hint="eastAsia" w:ascii="仿宋_GB2312" w:hAnsi="仿宋_GB2312" w:eastAsia="仿宋_GB2312" w:cs="仿宋_GB2312"/>
                <w:sz w:val="28"/>
                <w:szCs w:val="28"/>
              </w:rPr>
              <w:t>2）投标人的报价每高于或低于比选基准价1%扣0.5分（不足1%按比例计算），最多扣10分。</w:t>
            </w:r>
          </w:p>
          <w:p w14:paraId="0DA1C33F">
            <w:pPr>
              <w:spacing w:line="0" w:lineRule="atLeast"/>
              <w:jc w:val="left"/>
              <w:rPr>
                <w:rFonts w:ascii="仿宋_GB2312" w:hAnsi="仿宋_GB2312" w:eastAsia="仿宋_GB2312" w:cs="仿宋_GB2312"/>
                <w:sz w:val="28"/>
                <w:szCs w:val="28"/>
              </w:rPr>
            </w:pPr>
            <w:r>
              <w:rPr>
                <w:rFonts w:hint="eastAsia" w:ascii="仿宋_GB2312" w:hAnsi="仿宋_GB2312" w:eastAsia="仿宋_GB2312" w:cs="仿宋_GB2312"/>
                <w:sz w:val="28"/>
                <w:szCs w:val="28"/>
              </w:rPr>
              <w:t>比选基准价为有效比选报价的算术平均值（被否决投标的比选单位的投标报价、高于招标控制价的投标报价和比选委员会认为不合理的比选报价不参与比选基准价的计算）；</w:t>
            </w:r>
          </w:p>
          <w:p w14:paraId="56F16324">
            <w:pPr>
              <w:spacing w:line="0" w:lineRule="atLeast"/>
              <w:jc w:val="left"/>
              <w:rPr>
                <w:rFonts w:ascii="仿宋_GB2312" w:hAnsi="仿宋_GB2312" w:eastAsia="仿宋_GB2312" w:cs="仿宋_GB2312"/>
                <w:sz w:val="28"/>
                <w:szCs w:val="28"/>
              </w:rPr>
            </w:pPr>
            <w:r>
              <w:rPr>
                <w:rFonts w:hint="eastAsia" w:ascii="仿宋_GB2312" w:hAnsi="仿宋_GB2312" w:eastAsia="仿宋_GB2312" w:cs="仿宋_GB2312"/>
                <w:sz w:val="28"/>
                <w:szCs w:val="28"/>
              </w:rPr>
              <w:t>计算公式A(评标基准价)=(A1+A2+…An)/n(n为有效个数，An为某有效投标报价)</w:t>
            </w:r>
          </w:p>
        </w:tc>
        <w:tc>
          <w:tcPr>
            <w:tcW w:w="2921" w:type="dxa"/>
            <w:vAlign w:val="center"/>
          </w:tcPr>
          <w:p w14:paraId="46CC69B1">
            <w:pPr>
              <w:spacing w:line="0" w:lineRule="atLeast"/>
              <w:jc w:val="center"/>
              <w:rPr>
                <w:rFonts w:ascii="仿宋_GB2312" w:hAnsi="仿宋_GB2312" w:eastAsia="仿宋_GB2312" w:cs="仿宋_GB2312"/>
                <w:sz w:val="28"/>
                <w:szCs w:val="28"/>
              </w:rPr>
            </w:pPr>
            <w:r>
              <w:rPr>
                <w:rFonts w:hint="eastAsia" w:ascii="仿宋_GB2312" w:hAnsi="仿宋_GB2312" w:eastAsia="仿宋_GB2312" w:cs="仿宋_GB2312"/>
                <w:sz w:val="28"/>
                <w:szCs w:val="28"/>
              </w:rPr>
              <w:t>60</w:t>
            </w:r>
          </w:p>
        </w:tc>
      </w:tr>
      <w:bookmarkEnd w:id="0"/>
      <w:bookmarkEnd w:id="1"/>
      <w:bookmarkEnd w:id="2"/>
    </w:tbl>
    <w:p w14:paraId="1C2C3E9F">
      <w:pPr>
        <w:rPr>
          <w:sz w:val="28"/>
          <w:szCs w:val="28"/>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宋体-18030">
    <w:altName w:val="宋体"/>
    <w:panose1 w:val="00000000000000000000"/>
    <w:charset w:val="00"/>
    <w:family w:val="modern"/>
    <w:pitch w:val="default"/>
    <w:sig w:usb0="00000000" w:usb1="00000000" w:usb2="000A005E" w:usb3="00000000" w:csb0="00040001" w:csb1="00000000"/>
  </w:font>
  <w:font w:name="方正小标宋简体">
    <w:altName w:val="Arial Unicode MS"/>
    <w:panose1 w:val="03000509000000000000"/>
    <w:charset w:val="86"/>
    <w:family w:val="auto"/>
    <w:pitch w:val="default"/>
    <w:sig w:usb0="00000000" w:usb1="0000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 w:name="Arial Unicode MS">
    <w:panose1 w:val="020B0604020202020204"/>
    <w:charset w:val="86"/>
    <w:family w:val="auto"/>
    <w:pitch w:val="default"/>
    <w:sig w:usb0="FFFFFFFF" w:usb1="E9FFFFFF" w:usb2="0000003F" w:usb3="00000000" w:csb0="603F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9"/>
  <w:embedSystemFonts/>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F346659"/>
    <w:rsid w:val="0030477C"/>
    <w:rsid w:val="00DB5045"/>
    <w:rsid w:val="00DE6F69"/>
    <w:rsid w:val="0F346659"/>
    <w:rsid w:val="0FAB528C"/>
    <w:rsid w:val="1FBDBA90"/>
    <w:rsid w:val="27F7F094"/>
    <w:rsid w:val="2DF3A1A8"/>
    <w:rsid w:val="374C5134"/>
    <w:rsid w:val="4F99F9D2"/>
    <w:rsid w:val="57DDF9F5"/>
    <w:rsid w:val="5FBF46F8"/>
    <w:rsid w:val="5FC703A5"/>
    <w:rsid w:val="67C51202"/>
    <w:rsid w:val="7B9ED7EF"/>
    <w:rsid w:val="7CDF73CE"/>
    <w:rsid w:val="7F3F52C5"/>
    <w:rsid w:val="7FDDBC1D"/>
    <w:rsid w:val="7FDEB418"/>
    <w:rsid w:val="9F7B77B0"/>
    <w:rsid w:val="9FDAC8B8"/>
    <w:rsid w:val="AF984119"/>
    <w:rsid w:val="AFFBC32C"/>
    <w:rsid w:val="B3DDB668"/>
    <w:rsid w:val="B6BD7793"/>
    <w:rsid w:val="BB7FBCB4"/>
    <w:rsid w:val="BF1D20E8"/>
    <w:rsid w:val="BF755E24"/>
    <w:rsid w:val="E7C698FD"/>
    <w:rsid w:val="E7FD8E20"/>
    <w:rsid w:val="ED871693"/>
    <w:rsid w:val="EEFF79A6"/>
    <w:rsid w:val="F65F123C"/>
    <w:rsid w:val="F77FC66A"/>
    <w:rsid w:val="F7ED78FA"/>
    <w:rsid w:val="FBBB1C10"/>
    <w:rsid w:val="FE0FAD5C"/>
    <w:rsid w:val="FEFF5DE0"/>
    <w:rsid w:val="FEFF6B30"/>
    <w:rsid w:val="FFAEEAA3"/>
    <w:rsid w:val="FFFD88B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99"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qFormat="1"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qFormat/>
    <w:uiPriority w:val="0"/>
    <w:pPr>
      <w:keepNext/>
      <w:keepLines/>
      <w:spacing w:line="360" w:lineRule="auto"/>
      <w:outlineLvl w:val="0"/>
    </w:pPr>
    <w:rPr>
      <w:b/>
      <w:bCs/>
      <w:kern w:val="44"/>
      <w:sz w:val="32"/>
      <w:szCs w:val="44"/>
    </w:rPr>
  </w:style>
  <w:style w:type="character" w:default="1" w:styleId="7">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2">
    <w:name w:val="table of authorities"/>
    <w:basedOn w:val="1"/>
    <w:next w:val="1"/>
    <w:qFormat/>
    <w:uiPriority w:val="0"/>
    <w:pPr>
      <w:ind w:left="420" w:leftChars="200"/>
    </w:pPr>
    <w:rPr>
      <w:szCs w:val="32"/>
    </w:rPr>
  </w:style>
  <w:style w:type="paragraph" w:styleId="4">
    <w:name w:val="footer"/>
    <w:basedOn w:val="1"/>
    <w:link w:val="8"/>
    <w:qFormat/>
    <w:uiPriority w:val="0"/>
    <w:pPr>
      <w:tabs>
        <w:tab w:val="center" w:pos="4153"/>
        <w:tab w:val="right" w:pos="8306"/>
      </w:tabs>
      <w:snapToGrid w:val="0"/>
      <w:jc w:val="left"/>
    </w:pPr>
    <w:rPr>
      <w:sz w:val="18"/>
      <w:szCs w:val="18"/>
    </w:rPr>
  </w:style>
  <w:style w:type="paragraph" w:styleId="5">
    <w:name w:val="header"/>
    <w:basedOn w:val="1"/>
    <w:qFormat/>
    <w:uiPriority w:val="99"/>
    <w:pPr>
      <w:pBdr>
        <w:bottom w:val="single" w:color="auto" w:sz="6" w:space="1"/>
      </w:pBdr>
      <w:tabs>
        <w:tab w:val="center" w:pos="4153"/>
        <w:tab w:val="right" w:pos="8306"/>
      </w:tabs>
      <w:snapToGrid w:val="0"/>
    </w:pPr>
    <w:rPr>
      <w:sz w:val="18"/>
      <w:szCs w:val="18"/>
    </w:rPr>
  </w:style>
  <w:style w:type="character" w:customStyle="1" w:styleId="8">
    <w:name w:val="页脚 字符"/>
    <w:basedOn w:val="7"/>
    <w:link w:val="4"/>
    <w:qFormat/>
    <w:uiPriority w:val="0"/>
    <w:rPr>
      <w:kern w:val="2"/>
      <w:sz w:val="18"/>
      <w:szCs w:val="18"/>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Pages>
  <Words>535</Words>
  <Characters>575</Characters>
  <Lines>4</Lines>
  <Paragraphs>1</Paragraphs>
  <TotalTime>1</TotalTime>
  <ScaleCrop>false</ScaleCrop>
  <LinksUpToDate>false</LinksUpToDate>
  <CharactersWithSpaces>579</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2025-11-26T09:20:00Z</dcterms:created>
  <dc:creator>Garbage</dc:creator>
  <cp:lastModifiedBy>刘岩辉</cp:lastModifiedBy>
  <cp:lastPrinted>2025-11-24T19:29:00Z</cp:lastPrinted>
  <dcterms:modified xsi:type="dcterms:W3CDTF">2026-07-29T03:34:03Z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C245E1D4EC5B7403A391A769B7B10811_43</vt:lpwstr>
  </property>
  <property fmtid="{D5CDD505-2E9C-101B-9397-08002B2CF9AE}" pid="4" name="KSOTemplateDocerSaveRecord">
    <vt:lpwstr>eyJoZGlkIjoiMzUzZTJjZTZmZjRkZWJkYWJiMGUxNmFjNTg0NWI3NGYiLCJ1c2VySWQiOiI5NTY3NjAyNzgifQ==</vt:lpwstr>
  </property>
</Properties>
</file>